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440" w:lineRule="exact"/>
        <w:contextualSpacing/>
        <w:jc w:val="both"/>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rPr>
        <w:t xml:space="preserve">证券代码：000966         </w:t>
      </w:r>
      <w:r>
        <w:rPr>
          <w:rFonts w:hint="default"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 xml:space="preserve">证券简称：长源电力       </w:t>
      </w:r>
      <w:r>
        <w:rPr>
          <w:rFonts w:hint="default"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编号：20</w:t>
      </w:r>
      <w:r>
        <w:rPr>
          <w:rFonts w:hint="default" w:ascii="Times New Roman" w:hAnsi="Times New Roman" w:cs="Times New Roman"/>
          <w:color w:val="000000"/>
          <w:sz w:val="24"/>
          <w:szCs w:val="24"/>
          <w:lang w:val="en-US" w:eastAsia="zh-CN"/>
        </w:rPr>
        <w:t>22</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01</w:t>
      </w:r>
    </w:p>
    <w:p>
      <w:pPr>
        <w:keepNext w:val="0"/>
        <w:keepLines w:val="0"/>
        <w:pageBreakBefore w:val="0"/>
        <w:widowControl/>
        <w:kinsoku/>
        <w:wordWrap/>
        <w:overflowPunct/>
        <w:topLinePunct w:val="0"/>
        <w:autoSpaceDE/>
        <w:autoSpaceDN/>
        <w:bidi w:val="0"/>
        <w:adjustRightInd/>
        <w:snapToGrid/>
        <w:spacing w:after="0" w:line="440" w:lineRule="exact"/>
        <w:contextualSpacing/>
        <w:jc w:val="center"/>
        <w:textAlignment w:val="auto"/>
        <w:rPr>
          <w:rFonts w:hint="default" w:ascii="Times New Roman" w:hAnsi="Times New Roman" w:eastAsia="方正小标宋简体" w:cs="Times New Roman"/>
          <w:b w:val="0"/>
          <w:bCs w:val="0"/>
          <w:color w:val="000000"/>
          <w:sz w:val="24"/>
          <w:szCs w:val="24"/>
          <w:lang w:eastAsia="zh-CN"/>
        </w:rPr>
      </w:pPr>
    </w:p>
    <w:p>
      <w:pPr>
        <w:keepNext w:val="0"/>
        <w:keepLines w:val="0"/>
        <w:pageBreakBefore w:val="0"/>
        <w:widowControl/>
        <w:kinsoku/>
        <w:wordWrap/>
        <w:overflowPunct/>
        <w:topLinePunct w:val="0"/>
        <w:autoSpaceDE/>
        <w:autoSpaceDN/>
        <w:bidi w:val="0"/>
        <w:adjustRightInd/>
        <w:snapToGrid/>
        <w:spacing w:after="0" w:line="440" w:lineRule="exact"/>
        <w:contextualSpacing/>
        <w:jc w:val="center"/>
        <w:textAlignment w:val="auto"/>
        <w:rPr>
          <w:rFonts w:hint="default" w:ascii="Times New Roman" w:hAnsi="Times New Roman" w:eastAsia="方正小标宋简体" w:cs="Times New Roman"/>
          <w:b w:val="0"/>
          <w:bCs w:val="0"/>
          <w:color w:val="000000"/>
          <w:sz w:val="32"/>
          <w:szCs w:val="24"/>
        </w:rPr>
      </w:pPr>
      <w:r>
        <w:rPr>
          <w:rFonts w:hint="default" w:ascii="Times New Roman" w:hAnsi="Times New Roman" w:eastAsia="方正小标宋简体" w:cs="Times New Roman"/>
          <w:b w:val="0"/>
          <w:bCs w:val="0"/>
          <w:color w:val="000000"/>
          <w:sz w:val="32"/>
          <w:szCs w:val="24"/>
          <w:lang w:eastAsia="zh-CN"/>
        </w:rPr>
        <w:t>国家能源集团</w:t>
      </w:r>
      <w:r>
        <w:rPr>
          <w:rFonts w:hint="default" w:ascii="Times New Roman" w:hAnsi="Times New Roman" w:eastAsia="方正小标宋简体" w:cs="Times New Roman"/>
          <w:b w:val="0"/>
          <w:bCs w:val="0"/>
          <w:color w:val="000000"/>
          <w:sz w:val="32"/>
          <w:szCs w:val="24"/>
        </w:rPr>
        <w:t>长源电力股份有限公司</w:t>
      </w:r>
    </w:p>
    <w:p>
      <w:pPr>
        <w:keepNext w:val="0"/>
        <w:keepLines w:val="0"/>
        <w:pageBreakBefore w:val="0"/>
        <w:widowControl/>
        <w:kinsoku/>
        <w:wordWrap/>
        <w:overflowPunct/>
        <w:topLinePunct w:val="0"/>
        <w:autoSpaceDE/>
        <w:autoSpaceDN/>
        <w:bidi w:val="0"/>
        <w:adjustRightInd/>
        <w:snapToGrid/>
        <w:spacing w:after="0" w:line="440" w:lineRule="exact"/>
        <w:contextualSpacing/>
        <w:jc w:val="center"/>
        <w:textAlignment w:val="auto"/>
        <w:rPr>
          <w:rFonts w:hint="default" w:ascii="Times New Roman" w:hAnsi="Times New Roman" w:eastAsia="方正小标宋简体" w:cs="Times New Roman"/>
          <w:b w:val="0"/>
          <w:bCs w:val="0"/>
          <w:color w:val="000000"/>
          <w:sz w:val="32"/>
          <w:szCs w:val="24"/>
        </w:rPr>
      </w:pPr>
      <w:r>
        <w:rPr>
          <w:rFonts w:hint="default" w:ascii="Times New Roman" w:hAnsi="Times New Roman" w:eastAsia="方正小标宋简体" w:cs="Times New Roman"/>
          <w:b w:val="0"/>
          <w:bCs w:val="0"/>
          <w:color w:val="000000"/>
          <w:sz w:val="32"/>
          <w:szCs w:val="24"/>
        </w:rPr>
        <w:t>投资者关系活动记录表</w:t>
      </w:r>
    </w:p>
    <w:p>
      <w:pPr>
        <w:keepNext w:val="0"/>
        <w:keepLines w:val="0"/>
        <w:pageBreakBefore w:val="0"/>
        <w:widowControl/>
        <w:kinsoku/>
        <w:wordWrap/>
        <w:overflowPunct/>
        <w:topLinePunct w:val="0"/>
        <w:autoSpaceDE/>
        <w:autoSpaceDN/>
        <w:bidi w:val="0"/>
        <w:adjustRightInd/>
        <w:snapToGrid/>
        <w:spacing w:after="0" w:line="440" w:lineRule="exact"/>
        <w:contextualSpacing/>
        <w:jc w:val="center"/>
        <w:textAlignment w:val="auto"/>
        <w:rPr>
          <w:rFonts w:hint="default" w:ascii="Times New Roman" w:hAnsi="Times New Roman" w:eastAsia="方正小标宋简体" w:cs="Times New Roman"/>
          <w:b w:val="0"/>
          <w:bCs w:val="0"/>
          <w:color w:val="000000"/>
          <w:sz w:val="24"/>
          <w:szCs w:val="24"/>
        </w:rPr>
      </w:pPr>
    </w:p>
    <w:tbl>
      <w:tblPr>
        <w:tblStyle w:val="4"/>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7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821" w:type="dxa"/>
            <w:noWrap w:val="0"/>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after="0" w:line="380" w:lineRule="exact"/>
              <w:jc w:val="center"/>
              <w:textAlignment w:val="auto"/>
              <w:rPr>
                <w:rFonts w:hint="eastAsia" w:ascii="宋体" w:hAnsi="宋体" w:eastAsia="宋体" w:cs="宋体"/>
                <w:color w:val="000000"/>
                <w:sz w:val="24"/>
                <w:szCs w:val="21"/>
              </w:rPr>
            </w:pPr>
            <w:r>
              <w:rPr>
                <w:rFonts w:hint="eastAsia" w:ascii="宋体" w:hAnsi="宋体" w:eastAsia="宋体" w:cs="宋体"/>
                <w:color w:val="000000"/>
                <w:sz w:val="24"/>
                <w:szCs w:val="21"/>
              </w:rPr>
              <w:t>投资者关系</w:t>
            </w:r>
          </w:p>
          <w:p>
            <w:pPr>
              <w:keepNext w:val="0"/>
              <w:keepLines w:val="0"/>
              <w:pageBreakBefore w:val="0"/>
              <w:tabs>
                <w:tab w:val="center" w:pos="4153"/>
                <w:tab w:val="right" w:pos="8306"/>
              </w:tabs>
              <w:kinsoku/>
              <w:wordWrap/>
              <w:overflowPunct/>
              <w:topLinePunct w:val="0"/>
              <w:autoSpaceDE/>
              <w:autoSpaceDN/>
              <w:bidi w:val="0"/>
              <w:adjustRightInd/>
              <w:snapToGrid w:val="0"/>
              <w:spacing w:after="0" w:line="380" w:lineRule="exact"/>
              <w:jc w:val="center"/>
              <w:textAlignment w:val="auto"/>
              <w:rPr>
                <w:rFonts w:hint="eastAsia" w:ascii="宋体" w:hAnsi="宋体" w:eastAsia="宋体" w:cs="宋体"/>
                <w:color w:val="000000"/>
                <w:sz w:val="24"/>
                <w:szCs w:val="21"/>
              </w:rPr>
            </w:pPr>
            <w:r>
              <w:rPr>
                <w:rFonts w:hint="eastAsia" w:ascii="宋体" w:hAnsi="宋体" w:eastAsia="宋体" w:cs="宋体"/>
                <w:color w:val="000000"/>
                <w:sz w:val="24"/>
                <w:szCs w:val="21"/>
              </w:rPr>
              <w:t>活动类别</w:t>
            </w:r>
          </w:p>
        </w:tc>
        <w:tc>
          <w:tcPr>
            <w:tcW w:w="7385" w:type="dxa"/>
            <w:noWrap w:val="0"/>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4"/>
                <w:szCs w:val="21"/>
              </w:rPr>
            </w:pPr>
            <w:r>
              <w:rPr>
                <w:rFonts w:hint="eastAsia" w:ascii="宋体" w:hAnsi="宋体" w:eastAsia="宋体" w:cs="宋体"/>
                <w:color w:val="000000"/>
                <w:sz w:val="24"/>
                <w:szCs w:val="21"/>
              </w:rPr>
              <w:sym w:font="Wingdings 2" w:char="00A3"/>
            </w:r>
            <w:r>
              <w:rPr>
                <w:rFonts w:hint="eastAsia" w:ascii="宋体" w:hAnsi="宋体" w:eastAsia="宋体" w:cs="宋体"/>
                <w:sz w:val="24"/>
                <w:szCs w:val="21"/>
              </w:rPr>
              <w:t xml:space="preserve">特定对象调研   </w:t>
            </w:r>
            <w:r>
              <w:rPr>
                <w:rFonts w:hint="eastAsia" w:ascii="宋体" w:hAnsi="宋体" w:eastAsia="宋体" w:cs="宋体"/>
                <w:color w:val="000000"/>
                <w:sz w:val="24"/>
                <w:szCs w:val="21"/>
              </w:rPr>
              <w:t>□</w:t>
            </w:r>
            <w:r>
              <w:rPr>
                <w:rFonts w:hint="eastAsia" w:ascii="宋体" w:hAnsi="宋体" w:eastAsia="宋体" w:cs="宋体"/>
                <w:sz w:val="24"/>
                <w:szCs w:val="21"/>
              </w:rPr>
              <w:t xml:space="preserve">分析师会议    </w:t>
            </w:r>
            <w:r>
              <w:rPr>
                <w:rFonts w:hint="eastAsia" w:ascii="宋体" w:hAnsi="宋体" w:eastAsia="宋体" w:cs="宋体"/>
                <w:color w:val="000000"/>
                <w:sz w:val="24"/>
                <w:szCs w:val="21"/>
              </w:rPr>
              <w:t>□</w:t>
            </w:r>
            <w:r>
              <w:rPr>
                <w:rFonts w:hint="eastAsia" w:ascii="宋体" w:hAnsi="宋体" w:eastAsia="宋体" w:cs="宋体"/>
                <w:sz w:val="24"/>
                <w:szCs w:val="21"/>
              </w:rPr>
              <w:t xml:space="preserve">媒体采访   </w:t>
            </w:r>
            <w:r>
              <w:rPr>
                <w:rFonts w:hint="eastAsia" w:ascii="宋体" w:hAnsi="宋体" w:eastAsia="宋体" w:cs="宋体"/>
                <w:sz w:val="24"/>
                <w:szCs w:val="21"/>
                <w:lang w:val="en-US" w:eastAsia="zh-CN"/>
              </w:rPr>
              <w:t xml:space="preserve"> </w:t>
            </w:r>
            <w:r>
              <w:rPr>
                <w:rFonts w:hint="eastAsia" w:ascii="宋体" w:hAnsi="宋体" w:eastAsia="宋体" w:cs="宋体"/>
                <w:color w:val="000000"/>
                <w:sz w:val="24"/>
                <w:szCs w:val="21"/>
              </w:rPr>
              <w:sym w:font="Wingdings 2" w:char="0052"/>
            </w:r>
            <w:r>
              <w:rPr>
                <w:rFonts w:hint="eastAsia" w:ascii="宋体" w:hAnsi="宋体" w:eastAsia="宋体" w:cs="宋体"/>
                <w:sz w:val="24"/>
                <w:szCs w:val="21"/>
              </w:rPr>
              <w:t xml:space="preserve">业绩说明会     </w:t>
            </w:r>
          </w:p>
          <w:p>
            <w:pPr>
              <w:keepNext w:val="0"/>
              <w:keepLines w:val="0"/>
              <w:pageBreakBefore w:val="0"/>
              <w:tabs>
                <w:tab w:val="center" w:pos="4153"/>
                <w:tab w:val="right" w:pos="8306"/>
              </w:tabs>
              <w:kinsoku/>
              <w:wordWrap/>
              <w:overflowPunct/>
              <w:topLinePunct w:val="0"/>
              <w:autoSpaceDE/>
              <w:autoSpaceDN/>
              <w:bidi w:val="0"/>
              <w:adjustRightInd/>
              <w:snapToGrid w:val="0"/>
              <w:spacing w:after="0" w:line="380" w:lineRule="exact"/>
              <w:textAlignment w:val="auto"/>
              <w:rPr>
                <w:rFonts w:hint="eastAsia" w:ascii="宋体" w:hAnsi="宋体" w:eastAsia="宋体" w:cs="宋体"/>
                <w:color w:val="000000"/>
                <w:sz w:val="24"/>
                <w:szCs w:val="21"/>
              </w:rPr>
            </w:pPr>
            <w:r>
              <w:rPr>
                <w:rFonts w:hint="eastAsia" w:ascii="宋体" w:hAnsi="宋体" w:eastAsia="宋体" w:cs="宋体"/>
                <w:color w:val="000000"/>
                <w:sz w:val="24"/>
                <w:szCs w:val="21"/>
              </w:rPr>
              <w:t>□</w:t>
            </w:r>
            <w:r>
              <w:rPr>
                <w:rFonts w:hint="eastAsia" w:ascii="宋体" w:hAnsi="宋体" w:eastAsia="宋体" w:cs="宋体"/>
                <w:sz w:val="24"/>
                <w:szCs w:val="21"/>
              </w:rPr>
              <w:t xml:space="preserve">新闻发布会     </w:t>
            </w:r>
            <w:r>
              <w:rPr>
                <w:rFonts w:hint="eastAsia" w:ascii="宋体" w:hAnsi="宋体" w:eastAsia="宋体" w:cs="宋体"/>
                <w:color w:val="000000"/>
                <w:sz w:val="24"/>
                <w:szCs w:val="21"/>
              </w:rPr>
              <w:t>□</w:t>
            </w:r>
            <w:r>
              <w:rPr>
                <w:rFonts w:hint="eastAsia" w:ascii="宋体" w:hAnsi="宋体" w:eastAsia="宋体" w:cs="宋体"/>
                <w:sz w:val="24"/>
                <w:szCs w:val="21"/>
              </w:rPr>
              <w:t xml:space="preserve">路演活动      </w:t>
            </w:r>
            <w:r>
              <w:rPr>
                <w:rFonts w:hint="eastAsia" w:ascii="宋体" w:hAnsi="宋体" w:eastAsia="宋体" w:cs="宋体"/>
                <w:color w:val="000000"/>
                <w:sz w:val="24"/>
                <w:szCs w:val="21"/>
              </w:rPr>
              <w:t>□</w:t>
            </w:r>
            <w:r>
              <w:rPr>
                <w:rFonts w:hint="eastAsia" w:ascii="宋体" w:hAnsi="宋体" w:eastAsia="宋体" w:cs="宋体"/>
                <w:sz w:val="24"/>
                <w:szCs w:val="21"/>
              </w:rPr>
              <w:t xml:space="preserve">现场参观    </w:t>
            </w:r>
            <w:r>
              <w:rPr>
                <w:rFonts w:hint="eastAsia" w:ascii="宋体" w:hAnsi="宋体" w:eastAsia="宋体" w:cs="宋体"/>
                <w:color w:val="000000"/>
                <w:sz w:val="24"/>
                <w:szCs w:val="21"/>
              </w:rPr>
              <w:sym w:font="Wingdings 2" w:char="00A3"/>
            </w:r>
            <w:r>
              <w:rPr>
                <w:rFonts w:hint="eastAsia" w:ascii="宋体" w:hAnsi="宋体" w:eastAsia="宋体" w:cs="宋体"/>
                <w:sz w:val="24"/>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jc w:val="center"/>
              <w:textAlignment w:val="auto"/>
              <w:rPr>
                <w:rFonts w:hint="default" w:ascii="Times New Roman" w:hAnsi="Times New Roman" w:cs="Times New Roman" w:eastAsiaTheme="majorEastAsia"/>
                <w:color w:val="000000"/>
                <w:sz w:val="24"/>
                <w:szCs w:val="24"/>
                <w:lang w:eastAsia="zh-CN"/>
              </w:rPr>
            </w:pPr>
            <w:r>
              <w:rPr>
                <w:rFonts w:hint="default" w:ascii="Times New Roman" w:hAnsi="Times New Roman" w:cs="Times New Roman" w:eastAsiaTheme="majorEastAsia"/>
                <w:color w:val="000000"/>
                <w:sz w:val="24"/>
                <w:szCs w:val="24"/>
                <w:lang w:eastAsia="zh-CN"/>
              </w:rPr>
              <w:t>活动</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jc w:val="center"/>
              <w:textAlignment w:val="auto"/>
              <w:rPr>
                <w:rFonts w:hint="default" w:ascii="Times New Roman" w:hAnsi="Times New Roman" w:cs="Times New Roman" w:eastAsiaTheme="majorEastAsia"/>
                <w:color w:val="000000"/>
                <w:sz w:val="24"/>
                <w:szCs w:val="24"/>
                <w:lang w:eastAsia="zh-CN"/>
              </w:rPr>
            </w:pPr>
            <w:r>
              <w:rPr>
                <w:rFonts w:hint="default" w:ascii="Times New Roman" w:hAnsi="Times New Roman" w:cs="Times New Roman" w:eastAsiaTheme="majorEastAsia"/>
                <w:color w:val="000000"/>
                <w:sz w:val="24"/>
                <w:szCs w:val="24"/>
                <w:lang w:eastAsia="zh-CN"/>
              </w:rPr>
              <w:t>参与人员</w:t>
            </w:r>
          </w:p>
        </w:tc>
        <w:tc>
          <w:tcPr>
            <w:tcW w:w="738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textAlignment w:val="auto"/>
              <w:rPr>
                <w:rFonts w:hint="default" w:ascii="Times New Roman" w:hAnsi="Times New Roman" w:cs="Times New Roman" w:eastAsiaTheme="majorEastAsia"/>
                <w:color w:val="000000"/>
                <w:sz w:val="24"/>
                <w:szCs w:val="24"/>
                <w:lang w:eastAsia="zh-CN"/>
              </w:rPr>
            </w:pPr>
            <w:r>
              <w:rPr>
                <w:rFonts w:hint="eastAsia" w:ascii="Times New Roman" w:hAnsi="Times New Roman" w:cs="Times New Roman" w:eastAsiaTheme="majorEastAsia"/>
                <w:color w:val="000000"/>
                <w:sz w:val="24"/>
                <w:szCs w:val="24"/>
                <w:lang w:eastAsia="zh-CN"/>
              </w:rPr>
              <w:t>投资者：通过网络参加的投资者</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textAlignment w:val="auto"/>
              <w:rPr>
                <w:rFonts w:hint="eastAsia" w:ascii="Times New Roman" w:hAnsi="Times New Roman" w:cs="Times New Roman" w:eastAsiaTheme="majorEastAsia"/>
                <w:color w:val="000000"/>
                <w:sz w:val="24"/>
                <w:szCs w:val="24"/>
                <w:lang w:eastAsia="zh-CN"/>
              </w:rPr>
            </w:pPr>
            <w:r>
              <w:rPr>
                <w:rFonts w:hint="eastAsia" w:ascii="Times New Roman" w:hAnsi="Times New Roman" w:cs="Times New Roman" w:eastAsiaTheme="majorEastAsia"/>
                <w:color w:val="000000"/>
                <w:sz w:val="24"/>
                <w:szCs w:val="24"/>
                <w:lang w:eastAsia="zh-CN"/>
              </w:rPr>
              <w:t>独立财务顾问代表：天风证券股份有限公司熊宇巍</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textAlignment w:val="auto"/>
              <w:rPr>
                <w:rFonts w:hint="eastAsia" w:ascii="Times New Roman" w:hAnsi="Times New Roman" w:cs="Times New Roman" w:eastAsiaTheme="majorEastAsia"/>
                <w:color w:val="000000"/>
                <w:sz w:val="24"/>
                <w:szCs w:val="24"/>
                <w:lang w:eastAsia="zh-CN"/>
              </w:rPr>
            </w:pPr>
            <w:r>
              <w:rPr>
                <w:rFonts w:hint="eastAsia" w:ascii="Times New Roman" w:hAnsi="Times New Roman" w:cs="Times New Roman" w:eastAsiaTheme="majorEastAsia"/>
                <w:color w:val="000000"/>
                <w:sz w:val="24"/>
                <w:szCs w:val="24"/>
                <w:lang w:eastAsia="zh-CN"/>
              </w:rPr>
              <w:t>长源电力：</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textAlignment w:val="auto"/>
              <w:rPr>
                <w:rFonts w:hint="eastAsia" w:ascii="Times New Roman" w:hAnsi="Times New Roman" w:cs="Times New Roman" w:eastAsiaTheme="majorEastAsia"/>
                <w:color w:val="000000"/>
                <w:sz w:val="24"/>
                <w:szCs w:val="24"/>
                <w:lang w:eastAsia="zh-CN"/>
              </w:rPr>
            </w:pPr>
            <w:r>
              <w:rPr>
                <w:rFonts w:hint="eastAsia" w:ascii="Times New Roman" w:hAnsi="Times New Roman" w:cs="Times New Roman" w:eastAsiaTheme="majorEastAsia"/>
                <w:color w:val="000000"/>
                <w:sz w:val="24"/>
                <w:szCs w:val="24"/>
                <w:lang w:eastAsia="zh-CN"/>
              </w:rPr>
              <w:t>袁光福、朱</w:t>
            </w:r>
            <w:r>
              <w:rPr>
                <w:rFonts w:hint="eastAsia" w:ascii="Times New Roman" w:hAnsi="Times New Roman" w:cs="Times New Roman" w:eastAsiaTheme="majorEastAsia"/>
                <w:color w:val="000000"/>
                <w:sz w:val="24"/>
                <w:szCs w:val="24"/>
                <w:lang w:val="en-US" w:eastAsia="zh-CN"/>
              </w:rPr>
              <w:t xml:space="preserve">  </w:t>
            </w:r>
            <w:r>
              <w:rPr>
                <w:rFonts w:hint="eastAsia" w:ascii="Times New Roman" w:hAnsi="Times New Roman" w:cs="Times New Roman" w:eastAsiaTheme="majorEastAsia"/>
                <w:color w:val="000000"/>
                <w:sz w:val="24"/>
                <w:szCs w:val="24"/>
                <w:lang w:eastAsia="zh-CN"/>
              </w:rPr>
              <w:t>虹、汤湘希、胡</w:t>
            </w:r>
            <w:r>
              <w:rPr>
                <w:rFonts w:hint="eastAsia" w:ascii="Times New Roman" w:hAnsi="Times New Roman" w:cs="Times New Roman" w:eastAsiaTheme="majorEastAsia"/>
                <w:color w:val="000000"/>
                <w:sz w:val="24"/>
                <w:szCs w:val="24"/>
                <w:lang w:val="en-US" w:eastAsia="zh-CN"/>
              </w:rPr>
              <w:t xml:space="preserve">  </w:t>
            </w:r>
            <w:r>
              <w:rPr>
                <w:rFonts w:hint="eastAsia" w:ascii="Times New Roman" w:hAnsi="Times New Roman" w:cs="Times New Roman" w:eastAsiaTheme="majorEastAsia"/>
                <w:color w:val="000000"/>
                <w:sz w:val="24"/>
                <w:szCs w:val="24"/>
                <w:lang w:eastAsia="zh-CN"/>
              </w:rPr>
              <w:t>谦、刘</w:t>
            </w:r>
            <w:r>
              <w:rPr>
                <w:rFonts w:hint="eastAsia" w:ascii="Times New Roman" w:hAnsi="Times New Roman" w:cs="Times New Roman" w:eastAsiaTheme="majorEastAsia"/>
                <w:color w:val="000000"/>
                <w:sz w:val="24"/>
                <w:szCs w:val="24"/>
                <w:lang w:val="en-US" w:eastAsia="zh-CN"/>
              </w:rPr>
              <w:t xml:space="preserve">  </w:t>
            </w:r>
            <w:r>
              <w:rPr>
                <w:rFonts w:hint="eastAsia" w:ascii="Times New Roman" w:hAnsi="Times New Roman" w:cs="Times New Roman" w:eastAsiaTheme="majorEastAsia"/>
                <w:color w:val="000000"/>
                <w:sz w:val="24"/>
                <w:szCs w:val="24"/>
                <w:lang w:eastAsia="zh-CN"/>
              </w:rPr>
              <w:t>军</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textAlignment w:val="auto"/>
              <w:rPr>
                <w:rFonts w:hint="default" w:ascii="Times New Roman" w:hAnsi="Times New Roman" w:cs="Times New Roman" w:eastAsiaTheme="majorEastAsia"/>
                <w:color w:val="000000"/>
                <w:sz w:val="24"/>
                <w:szCs w:val="24"/>
                <w:lang w:eastAsia="zh-CN"/>
              </w:rPr>
            </w:pPr>
            <w:r>
              <w:rPr>
                <w:rFonts w:hint="eastAsia" w:ascii="Times New Roman" w:hAnsi="Times New Roman" w:cs="Times New Roman" w:eastAsiaTheme="majorEastAsia"/>
                <w:color w:val="000000"/>
                <w:sz w:val="24"/>
                <w:szCs w:val="24"/>
                <w:lang w:eastAsia="zh-CN"/>
              </w:rPr>
              <w:t>彭兵仿、邢</w:t>
            </w:r>
            <w:r>
              <w:rPr>
                <w:rFonts w:hint="eastAsia" w:ascii="Times New Roman" w:hAnsi="Times New Roman" w:cs="Times New Roman" w:eastAsiaTheme="majorEastAsia"/>
                <w:color w:val="000000"/>
                <w:sz w:val="24"/>
                <w:szCs w:val="24"/>
                <w:lang w:val="en-US" w:eastAsia="zh-CN"/>
              </w:rPr>
              <w:t xml:space="preserve">  </w:t>
            </w:r>
            <w:r>
              <w:rPr>
                <w:rFonts w:hint="eastAsia" w:ascii="Times New Roman" w:hAnsi="Times New Roman" w:cs="Times New Roman" w:eastAsiaTheme="majorEastAsia"/>
                <w:color w:val="000000"/>
                <w:sz w:val="24"/>
                <w:szCs w:val="24"/>
                <w:lang w:eastAsia="zh-CN"/>
              </w:rPr>
              <w:t>芳、刘广恩、赵雪松、盛梦莹、黄</w:t>
            </w:r>
            <w:r>
              <w:rPr>
                <w:rFonts w:hint="eastAsia" w:ascii="Times New Roman" w:hAnsi="Times New Roman" w:cs="Times New Roman" w:eastAsiaTheme="majorEastAsia"/>
                <w:color w:val="000000"/>
                <w:sz w:val="24"/>
                <w:szCs w:val="24"/>
                <w:lang w:val="en-US" w:eastAsia="zh-CN"/>
              </w:rPr>
              <w:t xml:space="preserve">  </w:t>
            </w:r>
            <w:r>
              <w:rPr>
                <w:rFonts w:hint="eastAsia" w:ascii="Times New Roman" w:hAnsi="Times New Roman" w:cs="Times New Roman" w:eastAsiaTheme="majorEastAsia"/>
                <w:color w:val="000000"/>
                <w:sz w:val="24"/>
                <w:szCs w:val="24"/>
                <w:lang w:eastAsia="zh-CN"/>
              </w:rPr>
              <w:t>婷、屈</w:t>
            </w:r>
            <w:r>
              <w:rPr>
                <w:rFonts w:hint="eastAsia" w:ascii="Times New Roman" w:hAnsi="Times New Roman" w:cs="Times New Roman" w:eastAsiaTheme="majorEastAsia"/>
                <w:color w:val="000000"/>
                <w:sz w:val="24"/>
                <w:szCs w:val="24"/>
                <w:lang w:val="en-US" w:eastAsia="zh-CN"/>
              </w:rPr>
              <w:t xml:space="preserve">  </w:t>
            </w:r>
            <w:r>
              <w:rPr>
                <w:rFonts w:hint="eastAsia" w:ascii="Times New Roman" w:hAnsi="Times New Roman" w:cs="Times New Roman" w:eastAsiaTheme="majorEastAsia"/>
                <w:color w:val="000000"/>
                <w:sz w:val="24"/>
                <w:szCs w:val="24"/>
                <w:lang w:eastAsia="zh-CN"/>
              </w:rPr>
              <w:t>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jc w:val="center"/>
              <w:textAlignment w:val="auto"/>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sz w:val="24"/>
                <w:szCs w:val="24"/>
              </w:rPr>
              <w:t>时间</w:t>
            </w:r>
          </w:p>
        </w:tc>
        <w:tc>
          <w:tcPr>
            <w:tcW w:w="738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textAlignment w:val="auto"/>
              <w:rPr>
                <w:rFonts w:hint="default" w:ascii="Times New Roman" w:hAnsi="Times New Roman" w:cs="Times New Roman" w:eastAsiaTheme="majorEastAsia"/>
                <w:color w:val="000000"/>
                <w:sz w:val="24"/>
                <w:szCs w:val="24"/>
                <w:lang w:val="en-US" w:eastAsia="zh-CN"/>
              </w:rPr>
            </w:pPr>
            <w:r>
              <w:rPr>
                <w:rFonts w:hint="eastAsia" w:ascii="Times New Roman" w:hAnsi="Times New Roman" w:cs="Times New Roman" w:eastAsiaTheme="majorEastAsia"/>
                <w:color w:val="000000"/>
                <w:sz w:val="24"/>
                <w:szCs w:val="24"/>
                <w:lang w:val="en-US" w:eastAsia="zh-CN"/>
              </w:rPr>
              <w:t>2022年5月24日（星期二）15:00~16:00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jc w:val="center"/>
              <w:textAlignment w:val="auto"/>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sz w:val="24"/>
                <w:szCs w:val="24"/>
              </w:rPr>
              <w:t>地点</w:t>
            </w:r>
          </w:p>
        </w:tc>
        <w:tc>
          <w:tcPr>
            <w:tcW w:w="738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textAlignment w:val="auto"/>
              <w:rPr>
                <w:rFonts w:hint="default" w:ascii="Times New Roman" w:hAnsi="Times New Roman" w:cs="Times New Roman" w:eastAsiaTheme="majorEastAsia"/>
                <w:color w:val="000000"/>
                <w:sz w:val="24"/>
                <w:szCs w:val="24"/>
                <w:lang w:val="en-US" w:eastAsia="zh-CN"/>
              </w:rPr>
            </w:pPr>
            <w:r>
              <w:rPr>
                <w:rFonts w:hint="eastAsia" w:ascii="Times New Roman" w:hAnsi="Times New Roman" w:cs="Times New Roman" w:eastAsiaTheme="majorEastAsia"/>
                <w:color w:val="000000"/>
                <w:sz w:val="24"/>
                <w:szCs w:val="24"/>
                <w:lang w:val="en-US" w:eastAsia="zh-CN"/>
              </w:rPr>
              <w:t>国家能源大厦206会议室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noWrap w:val="0"/>
            <w:tcMar>
              <w:left w:w="0" w:type="dxa"/>
              <w:right w:w="0" w:type="dxa"/>
            </w:tcMar>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jc w:val="center"/>
              <w:textAlignment w:val="auto"/>
              <w:rPr>
                <w:rFonts w:hint="eastAsia" w:ascii="Times New Roman" w:hAnsi="Times New Roman" w:cs="Times New Roman" w:eastAsiaTheme="majorEastAsia"/>
                <w:color w:val="000000"/>
                <w:sz w:val="24"/>
                <w:szCs w:val="24"/>
                <w:lang w:eastAsia="zh-CN"/>
              </w:rPr>
            </w:pPr>
            <w:r>
              <w:rPr>
                <w:rFonts w:hint="eastAsia" w:ascii="Times New Roman" w:hAnsi="Times New Roman" w:cs="Times New Roman" w:eastAsiaTheme="majorEastAsia"/>
                <w:color w:val="000000"/>
                <w:sz w:val="24"/>
                <w:szCs w:val="24"/>
                <w:lang w:eastAsia="zh-CN"/>
              </w:rPr>
              <w:t>形式</w:t>
            </w:r>
          </w:p>
        </w:tc>
        <w:tc>
          <w:tcPr>
            <w:tcW w:w="738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textAlignment w:val="auto"/>
              <w:rPr>
                <w:rFonts w:hint="default" w:ascii="Times New Roman" w:hAnsi="Times New Roman" w:cs="Times New Roman" w:eastAsiaTheme="majorEastAsia"/>
                <w:color w:val="000000"/>
                <w:sz w:val="24"/>
                <w:szCs w:val="24"/>
                <w:lang w:eastAsia="zh-CN"/>
              </w:rPr>
            </w:pPr>
            <w:r>
              <w:rPr>
                <w:rFonts w:hint="eastAsia" w:ascii="Times New Roman" w:hAnsi="Times New Roman" w:cs="Times New Roman" w:eastAsiaTheme="majorEastAsia"/>
                <w:color w:val="000000"/>
                <w:sz w:val="24"/>
                <w:szCs w:val="24"/>
                <w:lang w:eastAsia="zh-CN"/>
              </w:rPr>
              <w:t>网络互动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jc w:val="center"/>
              <w:textAlignment w:val="auto"/>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sz w:val="24"/>
                <w:szCs w:val="24"/>
              </w:rPr>
              <w:t>交流内容及</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jc w:val="center"/>
              <w:textAlignment w:val="auto"/>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sz w:val="24"/>
                <w:szCs w:val="24"/>
              </w:rPr>
              <w:t>具体问答记录</w:t>
            </w:r>
          </w:p>
        </w:tc>
        <w:tc>
          <w:tcPr>
            <w:tcW w:w="7385" w:type="dxa"/>
            <w:noWrap w:val="0"/>
            <w:vAlign w:val="center"/>
          </w:tcPr>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1.问董秘刘军：公司公告说不进行2021年度利润分配，请问为什么？</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答：根据《公司章程》有关利润分配的规定，公司当年盈利且累计未分配利润为正数时，应采用现金方式向全体股东进行利润分配。公司2021年亏损且2022年将持续加大对火电、光伏、风电等基建项目资金投入，据此，公司制定了《2021年度利润分配方案》，2021年度拟不进行利润分配。公司于2022年4月28日召开的第九届董事会第二十七次会议、2022年5月20日召开的公司2021年度股东大会审议通过了《关于公司2021年度利润分配方案的议案》，决定2021年度不进行利润分配。</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2.问总会计师朱虹：公司公告2021全年发电316.86亿千瓦时，同比增长16.14%。售热1655.8万吉焦，同比增长39.3%，请问今年一季度售热情况如何？售热业务的客户主要是什么类型的企业?售热业务还有多大的发展空间？</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答：今年一季度售热量481.05万吉焦，同比上升25.64%，售热业务的客户包括印染、化工、食品、建材等多个行业，公司所属煤电企业所在地市（武汉、荆州、荆门）经济发展良好，煤电企业将继续加强供热服务和开拓热力市场。</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3.问副总经理胡谦:请问公司完成重大资产重组，上市公司当年即亏损，是否说明本次重组不成功？</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答：2021年长源电力实现归母净利润-2535.03万元，其中国电湖北电力有限公司（以下简称湖北公司）实现归母净利润14,443.03万元。湖北公司具有较大规模的装机容量和合理的电源结构，具有良好的盈利能力和抗风险能力，在一定程度上改善了上市公司的盈利状况。上市公司当年亏损是由于煤价大幅上涨这一市场客观因素所致。公司完成重大资产重组后，总装机容量由380.46万千瓦增加至708.97万千瓦，装机和资产规模明显提升；资产结构进一步优化，由火电为主转变为水火互补、风光兼具的多元能源结构，水电成为公司第二大发电来源，清洁能源占比提升至11.28%；公司总股本增至27.49亿股，进一步扩大了公司股权、债权融资空间。</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4.问独立董事汤湘希:请问您如何看待康美药业独立董事处罚一事？贵公司是否为独立董事购买了责任险？</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答：作为独立董事，必须依照《公司法》《证券法》《上市公司独立董事规则》等有关法律、法规和规范性文件的要求，勤勉尽责。就康美药业独立董事被处罚一事，个人认为，如果未能勤勉尽责，应该承担相应的法律责任，向受到损失的股东，尤其是中小股东承担一定的民事赔偿责任。当然，巨额的赔偿数额作为自然人是承受不起的！为此，本人及其团队也在研究此问题，包括购买独立董事责任险等有关人员责任险等方式，既促进独立董事勤勉尽责，又能进一步保护中小投资者的合法权益。公司正在研究为包括独立董事在内的董监高购买责任险事宜。</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5.问总经理袁光福:董事会工作报告中提出2022年经营发展目标：大力发展新能源，力争新增配置建设规模130万千瓦、开工170万千瓦、投产90万千瓦。请介绍具体情况？</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答：经积极争取，公司2022年获得随州、汉川、荆门三个新能源百万基地新增配置建设规模各30万千瓦，以及2021年四季度组煤保电奖励新能源建设规模75万千瓦，两项合计165万千瓦。公司正按“有土地、能建设、可接入”的要求对2021年和2022年配置的指标予以落实落地，加快推进各项目可研、投资决策及开工准备等工作，力争完成“开工170万千瓦、投产90万千瓦”的建设目标。目前开工规模20万千瓦，其余规划内项目将陆续开工，稳步推进建设，年底部分项目投产。</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6.问独立财务顾问代表熊宇巍:公司完成重大资产重组，标的资产湖北公司整体注入长源电力，长源电力2021年度亏损，请问标的资产湖北公司是否发生了减值？</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答：2021年标的资产湖北公司实现盈利。根据北京中企华资产评估有限责任公司出具的《国家能源集团长源电力股份有限公司减值测试项目所涉及的国电湖北电力有限公司股东全部权益价值资产评估报告》（中企华评报字[2022]第1246号），依据该评估报告，评估基准日2021年12月31日国电湖北电力有限公司股东全部权益的评估结果为634,329.63万元。根据立信会计师事务所（特殊普通合伙）出具的《国家能源集团长源电力股份有限公司重大资产重组注入标的资产减值测试专项审核报告》（信会师报字[2022] 第ZE10200号），截至2021年12月31日，标的资产没有发生减值。通过以上测试，截至2021年 12月31日，标的资产的评估值高于交易作价，没有发生减值。具体情况详见公司于2022年5月21日在《中国证券报》《证券时报》及巨潮资讯网上披露的《关于重大资产重组注入标的资产减值测试报告的公告》（公告编号：2022-064）。</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7.问长源电力:请问2022年一季度公司各类发电业务的利用小时数如何，今年湖北省用电需求受到疫情多大的影响，是否会影响公司的售电收入？</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答：今年一季度，湖北省全社会用电量同比增加64.55亿千瓦时，增长11.46%，利用小时数在公司2022年第一季度报告中已披露。 一季度疫情对用电存在一定影响，后续疫情对公司售电收入的影响难以准确预测。</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8.问董秘刘军:2021年8月25日至8月30日，公司下属鄂坪水电站发生险情，公司的后续处理情况如何？公司下属的其他水电站是否发生类似安全事故？</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答：公司高度重视鄂坪水电站泄洪险情，在抢险工作完成后，组织工作专班，赴现场组织开展了溢洪道水毁修复工程。截至目前，已召开了鄂坪水电站溢洪道水毁修复工程完工验收会议，验收工作组同意通过验收。公司下属的其他水电站未发生类似情况。（具体情况详见公司于2022年4月19日在《中国证券报》《证券时报》及巨潮资讯网上披露的《关于所属水电站溢洪道水毁修复工程进展情况的自愿性信息披露公告》（公告编号：2022-043）</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9.问主持人长源电力:贵公司之前重组湖北电力对公司主营业务结构有哪些影响？未来子公司湖北电力的业务布局将有哪些调整？</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答：本次重组交易前，公司火电装机容量占比超过95%，电源结构相对单一。重组完成后，公司发电装机规模、市场份额明显提升，总装机容量由380.46万千瓦增加至708.97万千瓦；电源结构进一步优化，水电成为公司第二大发电来源，清洁能源占比提升至11.28%。 未来新能源发电将成为公司新的利润增长点和第二大支柱产业，对于子公司湖北电力的业务布局暂无调整。</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10.问总经理袁光福:2021年度，公司在湖北区域的发电量占比是在提高还是下降？公司的竞争力是否有优势？</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答：2021年度，公司在湖北区域的发电量占比同比提高。公司的竞争力优势包括资产规模优势、布局优势等，具体详见公司《2021年年度报告》“第三节 管理层讨论与分析”中的“核心竞争力分析”部分有关内容。</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11.问长源电力:公司抽水蓄能业务有何最新进展？对公司整体发展战略有什么意义？</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答：公司目前已储备部分抽水蓄能资源，重点项目松滋江西观抽水蓄能项目（装机120万千瓦）已列入国家抽水蓄能“十四五”重点实施项目清单，项目已成立筹建处，前期工作正稳步推进中。抽水蓄能作为目前最成熟的调峰储能设施，具有“机组运行灵活、启动快”的特点，建成后可发挥调峰、填谷、调频、调相、储能和紧急事故备用等功能，满足系统电力增长需求、缓解电力系统调峰矛盾，保障电网安全稳定经济运行，是电网最佳的紧急事故备用和“黑启动”电源。公司投资抽水蓄能项目，是贯彻国家双碳战略的需要，也是增强湖北电网的调节能力，保证湖北电网安全稳定运行的需要，有利于公司调整电源结构，实现低碳绿色转型发展，增加公司发电装机的调节调峰能力，同时也有利于公司利用抽蓄的调节能力配置新能源资源，促进新能源产业发展。</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12.问长源电力:公司总经理工作报告介绍，2021年入炉综合标单968.2元/吨，区域对标排名第一，价格最低，请问公司采购煤炭为什么有价格优势，今年这种优势能否持续？</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答：2021年公司全力提升长协兑现率，依托国家能源集团“煤炭产运需”一体化运营优势，有效增强了公司电煤保供控价能力和应对煤炭市场风险能力。2022年，公司将进一步抓好长协煤的兑现工作，发挥长协煤在保障供应、稳定价格方面的“压舱石”作用。</w:t>
            </w:r>
            <w:bookmarkStart w:id="0" w:name="_GoBack"/>
            <w:bookmarkEnd w:id="0"/>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13.问长源电力:火力发电在公司业务中占比仍然较高，随着国际煤炭能源价格上涨，公司生产成本提高，公司有何应对措施？</w:t>
            </w:r>
          </w:p>
          <w:p>
            <w:pPr>
              <w:keepNext w:val="0"/>
              <w:keepLines w:val="0"/>
              <w:pageBreakBefore w:val="0"/>
              <w:widowControl/>
              <w:kinsoku/>
              <w:wordWrap/>
              <w:overflowPunct/>
              <w:topLinePunct w:val="0"/>
              <w:autoSpaceDE/>
              <w:autoSpaceDN/>
              <w:bidi w:val="0"/>
              <w:adjustRightInd/>
              <w:snapToGrid/>
              <w:spacing w:after="0" w:line="380" w:lineRule="exact"/>
              <w:ind w:firstLine="480" w:firstLineChars="200"/>
              <w:contextualSpacing/>
              <w:jc w:val="both"/>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答：公司将按照国家电煤长协履约政策要求，积极抓好电煤长协兑现工作，夯实保供基础，提升电煤保供控价能力及抵御煤炭市场风险能力；加强对煤炭市场的分析研判，在市场价格回落期果断采购现货补库，确保燃煤供应安全；加强发电机组节能降耗管理，提升机组运行经济性，提升生产成本管控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jc w:val="center"/>
              <w:textAlignment w:val="auto"/>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sz w:val="24"/>
                <w:szCs w:val="24"/>
              </w:rPr>
              <w:t>关于本次活动是否涉及应披露重大信息的说明</w:t>
            </w:r>
          </w:p>
        </w:tc>
        <w:tc>
          <w:tcPr>
            <w:tcW w:w="7385" w:type="dxa"/>
            <w:noWrap w:val="0"/>
            <w:vAlign w:val="center"/>
          </w:tcPr>
          <w:p>
            <w:pPr>
              <w:keepNext w:val="0"/>
              <w:keepLines w:val="0"/>
              <w:pageBreakBefore w:val="0"/>
              <w:widowControl/>
              <w:kinsoku/>
              <w:wordWrap/>
              <w:overflowPunct/>
              <w:topLinePunct w:val="0"/>
              <w:autoSpaceDE/>
              <w:autoSpaceDN/>
              <w:bidi w:val="0"/>
              <w:adjustRightInd/>
              <w:snapToGrid/>
              <w:spacing w:after="0" w:line="380" w:lineRule="exact"/>
              <w:contextualSpacing/>
              <w:jc w:val="both"/>
              <w:textAlignment w:val="auto"/>
              <w:rPr>
                <w:rFonts w:hint="eastAsia" w:ascii="Times New Roman" w:hAnsi="Times New Roman" w:cs="Times New Roman" w:eastAsiaTheme="majorEastAsia"/>
                <w:color w:val="auto"/>
                <w:sz w:val="24"/>
                <w:szCs w:val="24"/>
                <w:lang w:eastAsia="zh-CN"/>
              </w:rPr>
            </w:pPr>
            <w:r>
              <w:rPr>
                <w:rFonts w:hint="eastAsia" w:ascii="Times New Roman" w:hAnsi="Times New Roman" w:cs="Times New Roman" w:eastAsiaTheme="majorEastAsia"/>
                <w:color w:val="auto"/>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jc w:val="center"/>
              <w:textAlignment w:val="auto"/>
              <w:rPr>
                <w:rFonts w:hint="default" w:ascii="Times New Roman" w:hAnsi="Times New Roman" w:cs="Times New Roman" w:eastAsiaTheme="majorEastAsia"/>
                <w:color w:val="000000"/>
                <w:sz w:val="24"/>
                <w:szCs w:val="24"/>
              </w:rPr>
            </w:pPr>
            <w:r>
              <w:rPr>
                <w:rFonts w:hint="default" w:ascii="Times New Roman" w:hAnsi="Times New Roman" w:cs="Times New Roman" w:eastAsiaTheme="majorEastAsia"/>
                <w:color w:val="000000"/>
                <w:sz w:val="24"/>
                <w:szCs w:val="24"/>
              </w:rPr>
              <w:t>活动过程中所使用的演示文稿、提供的文档等附件（如有，可作为附件）</w:t>
            </w:r>
          </w:p>
        </w:tc>
        <w:tc>
          <w:tcPr>
            <w:tcW w:w="7385" w:type="dxa"/>
            <w:noWrap w:val="0"/>
            <w:vAlign w:val="center"/>
          </w:tcPr>
          <w:p>
            <w:pPr>
              <w:keepNext w:val="0"/>
              <w:keepLines w:val="0"/>
              <w:pageBreakBefore w:val="0"/>
              <w:widowControl/>
              <w:numPr>
                <w:ilvl w:val="0"/>
                <w:numId w:val="1"/>
              </w:numPr>
              <w:tabs>
                <w:tab w:val="center" w:pos="4153"/>
                <w:tab w:val="right" w:pos="8306"/>
              </w:tabs>
              <w:kinsoku/>
              <w:wordWrap/>
              <w:overflowPunct/>
              <w:topLinePunct w:val="0"/>
              <w:autoSpaceDE/>
              <w:autoSpaceDN/>
              <w:bidi w:val="0"/>
              <w:adjustRightInd/>
              <w:snapToGrid w:val="0"/>
              <w:spacing w:after="0" w:line="380" w:lineRule="exact"/>
              <w:jc w:val="both"/>
              <w:textAlignment w:val="auto"/>
              <w:rPr>
                <w:rFonts w:hint="default" w:ascii="Times New Roman" w:hAnsi="Times New Roman" w:cs="Times New Roman" w:eastAsiaTheme="minorEastAsia"/>
                <w:color w:val="000000"/>
                <w:sz w:val="24"/>
                <w:szCs w:val="24"/>
                <w:lang w:val="en-US" w:eastAsia="zh-CN"/>
              </w:rPr>
            </w:pPr>
            <w:r>
              <w:rPr>
                <w:rFonts w:hint="default" w:ascii="Times New Roman" w:hAnsi="Times New Roman" w:cs="Times New Roman" w:eastAsiaTheme="minorEastAsia"/>
                <w:color w:val="000000"/>
                <w:sz w:val="24"/>
                <w:szCs w:val="24"/>
                <w:lang w:val="en-US" w:eastAsia="zh-CN"/>
              </w:rPr>
              <w:t>公司2021年年度报告</w:t>
            </w:r>
          </w:p>
          <w:p>
            <w:pPr>
              <w:keepNext w:val="0"/>
              <w:keepLines w:val="0"/>
              <w:pageBreakBefore w:val="0"/>
              <w:widowControl/>
              <w:numPr>
                <w:ilvl w:val="0"/>
                <w:numId w:val="1"/>
              </w:numPr>
              <w:tabs>
                <w:tab w:val="center" w:pos="4153"/>
                <w:tab w:val="right" w:pos="8306"/>
              </w:tabs>
              <w:kinsoku/>
              <w:wordWrap/>
              <w:overflowPunct/>
              <w:topLinePunct w:val="0"/>
              <w:autoSpaceDE/>
              <w:autoSpaceDN/>
              <w:bidi w:val="0"/>
              <w:adjustRightInd/>
              <w:snapToGrid w:val="0"/>
              <w:spacing w:after="0" w:line="380" w:lineRule="exact"/>
              <w:ind w:left="0" w:leftChars="0" w:firstLine="0" w:firstLineChars="0"/>
              <w:jc w:val="both"/>
              <w:textAlignment w:val="auto"/>
              <w:rPr>
                <w:rFonts w:hint="default"/>
                <w:lang w:val="en-US" w:eastAsia="zh-CN"/>
              </w:rPr>
            </w:pPr>
            <w:r>
              <w:rPr>
                <w:rFonts w:hint="default" w:ascii="Times New Roman" w:hAnsi="Times New Roman" w:cs="Times New Roman" w:eastAsiaTheme="minorEastAsia"/>
                <w:sz w:val="24"/>
                <w:szCs w:val="24"/>
                <w:lang w:val="en-US" w:eastAsia="zh-CN"/>
              </w:rPr>
              <w:t>公司</w:t>
            </w:r>
            <w:r>
              <w:rPr>
                <w:rFonts w:hint="eastAsia" w:ascii="Times New Roman" w:hAnsi="Times New Roman" w:cs="Times New Roman" w:eastAsiaTheme="minorEastAsia"/>
                <w:sz w:val="24"/>
                <w:szCs w:val="24"/>
                <w:lang w:val="en-US" w:eastAsia="zh-CN"/>
              </w:rPr>
              <w:t>2022年第一季度报告</w:t>
            </w:r>
          </w:p>
        </w:tc>
      </w:tr>
    </w:tbl>
    <w:p>
      <w:pPr>
        <w:pStyle w:val="6"/>
        <w:spacing w:after="0" w:line="240" w:lineRule="auto"/>
        <w:ind w:firstLine="0" w:firstLineChars="0"/>
        <w:rPr>
          <w:rFonts w:hint="default" w:ascii="Times New Roman" w:hAnsi="Times New Roman" w:cs="Times New Roman"/>
          <w:sz w:val="21"/>
          <w:szCs w:val="21"/>
        </w:rPr>
      </w:pPr>
    </w:p>
    <w:p/>
    <w:sectPr>
      <w:footerReference r:id="rId3" w:type="default"/>
      <w:pgSz w:w="12240" w:h="15840"/>
      <w:pgMar w:top="1134" w:right="1701" w:bottom="1134" w:left="1701" w:header="567"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9D800A"/>
    <w:multiLevelType w:val="singleLevel"/>
    <w:tmpl w:val="B89D800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812D1"/>
    <w:rsid w:val="02702FA4"/>
    <w:rsid w:val="03EB5645"/>
    <w:rsid w:val="05957C05"/>
    <w:rsid w:val="083812D1"/>
    <w:rsid w:val="0CD16DB4"/>
    <w:rsid w:val="13757ACD"/>
    <w:rsid w:val="159D54DD"/>
    <w:rsid w:val="195C7A6F"/>
    <w:rsid w:val="19F530A3"/>
    <w:rsid w:val="1A592637"/>
    <w:rsid w:val="1AA05F1D"/>
    <w:rsid w:val="1B8F1D8F"/>
    <w:rsid w:val="1D8E5120"/>
    <w:rsid w:val="1E982BF1"/>
    <w:rsid w:val="21D10405"/>
    <w:rsid w:val="268F4028"/>
    <w:rsid w:val="29085450"/>
    <w:rsid w:val="2AAC182B"/>
    <w:rsid w:val="2E700DE4"/>
    <w:rsid w:val="2F7420ED"/>
    <w:rsid w:val="30572119"/>
    <w:rsid w:val="31A43150"/>
    <w:rsid w:val="32A52E02"/>
    <w:rsid w:val="34BC7662"/>
    <w:rsid w:val="3549260A"/>
    <w:rsid w:val="36732A0F"/>
    <w:rsid w:val="39CC343D"/>
    <w:rsid w:val="3ACA0417"/>
    <w:rsid w:val="3C792D83"/>
    <w:rsid w:val="3E4601B0"/>
    <w:rsid w:val="3E614983"/>
    <w:rsid w:val="41857993"/>
    <w:rsid w:val="436C3967"/>
    <w:rsid w:val="44907CC1"/>
    <w:rsid w:val="475C7D83"/>
    <w:rsid w:val="49345036"/>
    <w:rsid w:val="4B5E0443"/>
    <w:rsid w:val="4D5667AB"/>
    <w:rsid w:val="4DDD110E"/>
    <w:rsid w:val="4E1919F8"/>
    <w:rsid w:val="4E676C7D"/>
    <w:rsid w:val="511469B1"/>
    <w:rsid w:val="513335B2"/>
    <w:rsid w:val="55F76965"/>
    <w:rsid w:val="569B3B0C"/>
    <w:rsid w:val="5C0C3353"/>
    <w:rsid w:val="5CF33B90"/>
    <w:rsid w:val="5E9C27B0"/>
    <w:rsid w:val="5EC50F25"/>
    <w:rsid w:val="62FC7E58"/>
    <w:rsid w:val="664F2482"/>
    <w:rsid w:val="6A23791F"/>
    <w:rsid w:val="6AE75B9E"/>
    <w:rsid w:val="6CF61FC1"/>
    <w:rsid w:val="6D1B2A48"/>
    <w:rsid w:val="73591031"/>
    <w:rsid w:val="73D80D2C"/>
    <w:rsid w:val="77676EE5"/>
    <w:rsid w:val="79663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宋体" w:cs="Times New Roman"/>
      <w:kern w:val="0"/>
      <w:sz w:val="22"/>
      <w:szCs w:val="22"/>
      <w:lang w:val="en-US" w:eastAsia="zh-CN" w:bidi="ar-SA"/>
    </w:rPr>
  </w:style>
  <w:style w:type="paragraph" w:styleId="2">
    <w:name w:val="heading 1"/>
    <w:basedOn w:val="1"/>
    <w:next w:val="1"/>
    <w:qFormat/>
    <w:uiPriority w:val="1"/>
    <w:pPr>
      <w:keepNext/>
      <w:keepLines/>
      <w:widowControl w:val="0"/>
      <w:spacing w:before="340" w:after="330" w:line="576"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pPr>
    <w:rPr>
      <w:sz w:val="18"/>
      <w:szCs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cy</Company>
  <Pages>1</Pages>
  <Words>0</Words>
  <Characters>0</Characters>
  <Lines>0</Lines>
  <Paragraphs>0</Paragraphs>
  <TotalTime>12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2022-03-30T06:53:00Z</dcterms:created>
  <dc:creator>叶建兵</dc:creator>
  <cp:lastModifiedBy>叶建兵</cp:lastModifiedBy>
  <dcterms:modified xsi:type="dcterms:W3CDTF">2022-05-24T10:59:20Z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