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200" w:after="1000" w:line="560" w:lineRule="exact"/>
        <w:jc w:val="both"/>
        <w:textAlignment w:val="auto"/>
        <w:rPr>
          <w:rFonts w:hint="default" w:ascii="Times New Roman" w:hAnsi="Times New Roman" w:eastAsia="宋体" w:cs="Times New Roman"/>
          <w:sz w:val="21"/>
          <w:szCs w:val="21"/>
          <w:lang w:val="en-US" w:eastAsia="zh-CN"/>
        </w:rPr>
      </w:pPr>
      <w:bookmarkStart w:id="9" w:name="_GoBack"/>
      <w:bookmarkEnd w:id="9"/>
      <w:r>
        <w:rPr>
          <w:rFonts w:hint="default" w:ascii="Times New Roman" w:hAnsi="Times New Roman" w:eastAsia="宋体" w:cs="Times New Roman"/>
          <w:sz w:val="21"/>
          <w:szCs w:val="21"/>
        </w:rPr>
        <w:t xml:space="preserve">证券代码：000966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证券简称：长源电力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公告编号：</w:t>
      </w:r>
      <w:r>
        <w:rPr>
          <w:rFonts w:hint="default" w:ascii="Times New Roman" w:hAnsi="Times New Roman" w:eastAsia="宋体" w:cs="Times New Roman"/>
          <w:sz w:val="21"/>
          <w:szCs w:val="21"/>
          <w:lang w:val="en-US" w:eastAsia="zh-CN"/>
        </w:rPr>
        <w:t>2025-</w:t>
      </w:r>
      <w:r>
        <w:rPr>
          <w:rFonts w:hint="eastAsia" w:cs="Times New Roman"/>
          <w:sz w:val="21"/>
          <w:szCs w:val="21"/>
          <w:lang w:val="en-US" w:eastAsia="zh-CN"/>
        </w:rPr>
        <w:t>058</w:t>
      </w:r>
    </w:p>
    <w:p>
      <w:pPr>
        <w:spacing w:before="0" w:after="1000" w:line="400" w:lineRule="exact"/>
        <w:jc w:val="center"/>
        <w:rPr>
          <w:rFonts w:hint="default" w:ascii="Times New Roman" w:hAnsi="Times New Roman" w:eastAsia="宋体" w:cs="Times New Roman"/>
          <w:b/>
          <w:bCs/>
          <w:sz w:val="36"/>
          <w:szCs w:val="36"/>
        </w:rPr>
      </w:pPr>
      <w:r>
        <w:rPr>
          <w:rFonts w:hint="default" w:ascii="Times New Roman" w:hAnsi="Times New Roman" w:eastAsia="宋体" w:cs="Times New Roman"/>
          <w:b/>
          <w:bCs/>
          <w:sz w:val="36"/>
          <w:szCs w:val="36"/>
        </w:rPr>
        <w:t>国家能源集团长源电力股份有限公司</w:t>
      </w:r>
    </w:p>
    <w:p>
      <w:pPr>
        <w:spacing w:before="0" w:after="1000" w:line="400" w:lineRule="exact"/>
        <w:jc w:val="center"/>
        <w:rPr>
          <w:rFonts w:hint="default" w:ascii="Times New Roman" w:hAnsi="Times New Roman" w:eastAsia="宋体" w:cs="Times New Roman"/>
          <w:b/>
          <w:bCs/>
          <w:sz w:val="36"/>
          <w:szCs w:val="36"/>
        </w:rPr>
      </w:pPr>
      <w:r>
        <w:rPr>
          <w:rFonts w:hint="default" w:ascii="Times New Roman" w:hAnsi="Times New Roman" w:eastAsia="宋体" w:cs="Times New Roman"/>
          <w:b/>
          <w:bCs/>
          <w:sz w:val="36"/>
          <w:szCs w:val="36"/>
        </w:rPr>
        <w:t>2025年半年度报告摘要</w:t>
      </w:r>
    </w:p>
    <w:p>
      <w:pPr>
        <w:rPr>
          <w:rFonts w:hint="default" w:ascii="Times New Roman" w:hAnsi="Times New Roman" w:eastAsia="宋体" w:cs="Times New Roman"/>
          <w:b/>
          <w:bCs/>
          <w:sz w:val="24"/>
          <w:szCs w:val="24"/>
        </w:rPr>
      </w:pPr>
      <w:bookmarkStart w:id="0" w:name="_Toc988889"/>
      <w:r>
        <w:rPr>
          <w:rFonts w:hint="default" w:ascii="Times New Roman" w:hAnsi="Times New Roman" w:eastAsia="宋体" w:cs="Times New Roman"/>
          <w:b/>
          <w:bCs/>
          <w:sz w:val="24"/>
          <w:szCs w:val="24"/>
        </w:rPr>
        <w:t>一、重要提示</w:t>
      </w:r>
      <w:bookmarkEnd w:id="0"/>
    </w:p>
    <w:p>
      <w:pPr>
        <w:spacing w:before="40" w:after="4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本半年度报告摘要来自半年度报告全文，为全面了解本公司的经营成果、财务状况及未来发展规划，投资者应当到证监会指定媒体仔细阅读半年度报告全文。</w:t>
      </w:r>
    </w:p>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所有董事均已出席了审议本报告的董事会会议。</w:t>
      </w:r>
    </w:p>
    <w:p>
      <w:pPr>
        <w:spacing w:before="100" w:after="10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非标准审计意见提示</w:t>
      </w:r>
    </w:p>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□适用 </w:t>
      </w:r>
      <w:r>
        <w:rPr>
          <w:rFonts w:hint="default" w:ascii="Times New Roman" w:hAnsi="Times New Roman" w:eastAsia="宋体" w:cs="Times New Roman"/>
          <w:sz w:val="21"/>
          <w:szCs w:val="21"/>
        </w:rPr>
        <w:sym w:font="Wingdings 2" w:char="F052"/>
      </w:r>
      <w:r>
        <w:rPr>
          <w:rFonts w:hint="default" w:ascii="Times New Roman" w:hAnsi="Times New Roman" w:eastAsia="宋体" w:cs="Times New Roman"/>
          <w:sz w:val="21"/>
          <w:szCs w:val="21"/>
        </w:rPr>
        <w:t>不适用</w:t>
      </w:r>
    </w:p>
    <w:p>
      <w:pPr>
        <w:spacing w:before="100" w:after="4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董事会审议的报告期利润分配预案或公积金转增股本预案</w:t>
      </w:r>
    </w:p>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□适用 </w:t>
      </w:r>
      <w:r>
        <w:rPr>
          <w:rFonts w:hint="default" w:ascii="Times New Roman" w:hAnsi="Times New Roman" w:eastAsia="宋体" w:cs="Times New Roman"/>
          <w:sz w:val="21"/>
          <w:szCs w:val="21"/>
        </w:rPr>
        <w:sym w:font="Wingdings 2" w:char="F052"/>
      </w:r>
      <w:r>
        <w:rPr>
          <w:rFonts w:hint="default" w:ascii="Times New Roman" w:hAnsi="Times New Roman" w:eastAsia="宋体" w:cs="Times New Roman"/>
          <w:sz w:val="21"/>
          <w:szCs w:val="21"/>
        </w:rPr>
        <w:t>不适用</w:t>
      </w:r>
    </w:p>
    <w:p>
      <w:pPr>
        <w:spacing w:before="40" w:after="4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公司计划不派发现金红利，不送红股，不以公积金转增股本。</w:t>
      </w:r>
    </w:p>
    <w:p>
      <w:pPr>
        <w:spacing w:before="100" w:after="10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董事会决议通过的本报告期优先股利润分配预案</w:t>
      </w:r>
    </w:p>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□适用 </w:t>
      </w:r>
      <w:r>
        <w:rPr>
          <w:rFonts w:hint="default" w:ascii="Times New Roman" w:hAnsi="Times New Roman" w:eastAsia="宋体" w:cs="Times New Roman"/>
          <w:sz w:val="21"/>
          <w:szCs w:val="21"/>
        </w:rPr>
        <w:sym w:font="Wingdings 2" w:char="F052"/>
      </w:r>
      <w:r>
        <w:rPr>
          <w:rFonts w:hint="default" w:ascii="Times New Roman" w:hAnsi="Times New Roman" w:eastAsia="宋体" w:cs="Times New Roman"/>
          <w:sz w:val="21"/>
          <w:szCs w:val="21"/>
        </w:rPr>
        <w:t>不适用</w:t>
      </w:r>
    </w:p>
    <w:p>
      <w:pPr>
        <w:keepNext/>
        <w:keepLines/>
        <w:spacing w:before="300" w:after="300" w:line="320" w:lineRule="exact"/>
        <w:jc w:val="left"/>
        <w:outlineLvl w:val="1"/>
        <w:rPr>
          <w:rFonts w:hint="default" w:ascii="Times New Roman" w:hAnsi="Times New Roman" w:eastAsia="宋体" w:cs="Times New Roman"/>
          <w:b/>
          <w:bCs/>
          <w:sz w:val="24"/>
          <w:szCs w:val="24"/>
        </w:rPr>
      </w:pPr>
      <w:bookmarkStart w:id="1" w:name="_Toc988890"/>
      <w:r>
        <w:rPr>
          <w:rFonts w:hint="default" w:ascii="Times New Roman" w:hAnsi="Times New Roman" w:eastAsia="宋体" w:cs="Times New Roman"/>
          <w:b/>
          <w:bCs/>
          <w:sz w:val="24"/>
          <w:szCs w:val="24"/>
        </w:rPr>
        <w:t>二、公司基本情况</w:t>
      </w:r>
      <w:bookmarkEnd w:id="1"/>
    </w:p>
    <w:p>
      <w:pPr>
        <w:keepNext/>
        <w:keepLines/>
        <w:spacing w:before="300" w:after="300" w:line="280" w:lineRule="exact"/>
        <w:jc w:val="left"/>
        <w:outlineLvl w:val="2"/>
        <w:rPr>
          <w:rFonts w:hint="default" w:ascii="Times New Roman" w:hAnsi="Times New Roman" w:eastAsia="宋体" w:cs="Times New Roman"/>
          <w:b/>
          <w:bCs/>
          <w:sz w:val="21"/>
          <w:szCs w:val="21"/>
        </w:rPr>
      </w:pPr>
      <w:bookmarkStart w:id="2" w:name="_Toc988891"/>
      <w:r>
        <w:rPr>
          <w:rFonts w:hint="default" w:ascii="Times New Roman" w:hAnsi="Times New Roman" w:eastAsia="宋体" w:cs="Times New Roman"/>
          <w:b/>
          <w:bCs/>
          <w:sz w:val="21"/>
          <w:szCs w:val="21"/>
        </w:rPr>
        <w:t>1、公司简介</w:t>
      </w:r>
      <w:bookmarkEnd w:id="2"/>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1582"/>
        <w:gridCol w:w="16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股票简称</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长源电力</w:t>
            </w:r>
          </w:p>
        </w:tc>
        <w:tc>
          <w:tcPr>
            <w:tcW w:w="158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股票代码</w:t>
            </w:r>
          </w:p>
        </w:tc>
        <w:tc>
          <w:tcPr>
            <w:tcW w:w="16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000966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股票上市交易所</w:t>
            </w:r>
          </w:p>
        </w:tc>
        <w:tc>
          <w:tcPr>
            <w:tcW w:w="6426"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深圳证券交易所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联系人和联系方式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董事会秘书</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证券事务代表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姓名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潘承亮</w:t>
            </w:r>
          </w:p>
        </w:tc>
        <w:tc>
          <w:tcPr>
            <w:tcW w:w="321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叶建兵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办公地址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湖北省武汉市洪山区徐东大街63号国家能源大厦</w:t>
            </w:r>
          </w:p>
        </w:tc>
        <w:tc>
          <w:tcPr>
            <w:tcW w:w="321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湖北省武汉市洪山区徐东大街63号国家能源大厦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电话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027-88717023</w:t>
            </w:r>
          </w:p>
        </w:tc>
        <w:tc>
          <w:tcPr>
            <w:tcW w:w="321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027-88717132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电子信箱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12112049@ceic.com</w:t>
            </w:r>
          </w:p>
        </w:tc>
        <w:tc>
          <w:tcPr>
            <w:tcW w:w="321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12089730@ceic.com</w:t>
            </w:r>
          </w:p>
        </w:tc>
      </w:tr>
    </w:tbl>
    <w:p>
      <w:pPr>
        <w:keepNext/>
        <w:keepLines/>
        <w:spacing w:before="300" w:after="300" w:line="280" w:lineRule="exact"/>
        <w:jc w:val="left"/>
        <w:outlineLvl w:val="2"/>
        <w:rPr>
          <w:rFonts w:hint="default" w:ascii="Times New Roman" w:hAnsi="Times New Roman" w:eastAsia="宋体" w:cs="Times New Roman"/>
          <w:b/>
          <w:bCs/>
          <w:sz w:val="21"/>
          <w:szCs w:val="21"/>
        </w:rPr>
      </w:pPr>
      <w:bookmarkStart w:id="3" w:name="_Toc988892"/>
      <w:r>
        <w:rPr>
          <w:rFonts w:hint="default" w:ascii="Times New Roman" w:hAnsi="Times New Roman" w:eastAsia="宋体" w:cs="Times New Roman"/>
          <w:b/>
          <w:bCs/>
          <w:sz w:val="21"/>
          <w:szCs w:val="21"/>
        </w:rPr>
        <w:t>2、主要会计数据和财务指标</w:t>
      </w:r>
      <w:bookmarkEnd w:id="3"/>
    </w:p>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公司是否需追溯调整或重述以前年度会计数据</w:t>
      </w:r>
    </w:p>
    <w:p>
      <w:pPr>
        <w:spacing w:before="40" w:after="4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□是 </w:t>
      </w:r>
      <w:r>
        <w:rPr>
          <w:rFonts w:hint="default" w:ascii="Times New Roman" w:hAnsi="Times New Roman" w:eastAsia="宋体" w:cs="Times New Roman"/>
          <w:sz w:val="21"/>
          <w:szCs w:val="21"/>
        </w:rPr>
        <w:sym w:font="Wingdings 2" w:char="F052"/>
      </w:r>
      <w:r>
        <w:rPr>
          <w:rFonts w:hint="default" w:ascii="Times New Roman" w:hAnsi="Times New Roman" w:eastAsia="宋体" w:cs="Times New Roman"/>
          <w:sz w:val="21"/>
          <w:szCs w:val="21"/>
        </w:rPr>
        <w:t>否</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856"/>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本报告期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上年同期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本报告期比上年同期增减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营业收入（元）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6,614,487,658.20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7,946,512,693.52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归属于上市公司股东的净利润（元）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94,822,076.33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447,921,409.36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-78.83%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归属于上市公司股东的扣除非经常性损益的净利润（元）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72,700,215.94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437,931,794.07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-83.40%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经营活动产生的现金流量净额（元）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1,671,739,919.76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1,962,625,203.31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基本每股收益（元/股）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0.0272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0.1629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-83.30%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稀释每股收益（元/股）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0.0272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0.1629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-83.30%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加权平均净资产收益率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0.69%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4.40%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本报告期末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上年度末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本报告期末比上年度末增减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总资产（元）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40,201,760,746.72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40,362,468,434.35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归属于上市公司股东的净资产（元）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13,770,142,472.36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13,607,442,805.32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1.20%</w:t>
            </w:r>
          </w:p>
        </w:tc>
      </w:tr>
    </w:tbl>
    <w:p>
      <w:pPr>
        <w:keepNext/>
        <w:keepLines/>
        <w:spacing w:before="300" w:after="300" w:line="280" w:lineRule="exact"/>
        <w:jc w:val="left"/>
        <w:outlineLvl w:val="2"/>
        <w:rPr>
          <w:rFonts w:hint="default" w:ascii="Times New Roman" w:hAnsi="Times New Roman" w:eastAsia="宋体" w:cs="Times New Roman"/>
          <w:b/>
          <w:bCs/>
          <w:sz w:val="21"/>
          <w:szCs w:val="21"/>
        </w:rPr>
      </w:pPr>
      <w:bookmarkStart w:id="4" w:name="_Toc988893"/>
      <w:r>
        <w:rPr>
          <w:rFonts w:hint="default" w:ascii="Times New Roman" w:hAnsi="Times New Roman" w:eastAsia="宋体" w:cs="Times New Roman"/>
          <w:b/>
          <w:bCs/>
          <w:sz w:val="21"/>
          <w:szCs w:val="21"/>
        </w:rPr>
        <w:t>3、公司股东数量及持股情况</w:t>
      </w:r>
      <w:bookmarkEnd w:id="4"/>
    </w:p>
    <w:p>
      <w:pPr>
        <w:spacing w:before="120" w:after="12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单位：股</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58"/>
        <w:gridCol w:w="1125"/>
        <w:gridCol w:w="1313"/>
        <w:gridCol w:w="188"/>
        <w:gridCol w:w="1474"/>
        <w:gridCol w:w="1739"/>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8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报告期末普通股股东总数</w:t>
            </w:r>
          </w:p>
        </w:tc>
        <w:tc>
          <w:tcPr>
            <w:tcW w:w="1501"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116,582</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报告期末表决权恢复的优先股股东总数（如有）</w:t>
            </w:r>
          </w:p>
        </w:tc>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前10名股东持股情况（不含通过转融通出借股份）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股东名称</w:t>
            </w:r>
          </w:p>
        </w:tc>
        <w:tc>
          <w:tcPr>
            <w:tcW w:w="112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股东性质</w:t>
            </w:r>
          </w:p>
        </w:tc>
        <w:tc>
          <w:tcPr>
            <w:tcW w:w="13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持股比例</w:t>
            </w:r>
          </w:p>
        </w:tc>
        <w:tc>
          <w:tcPr>
            <w:tcW w:w="1662"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持股数量</w:t>
            </w:r>
          </w:p>
        </w:tc>
        <w:tc>
          <w:tcPr>
            <w:tcW w:w="1739"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持有有限售条件的股份数量</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质押、标记或冻结情况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112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13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1662"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1739"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Times New Roman" w:hAnsi="Times New Roman" w:cs="Times New Roman"/>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股份状态</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国家能源投资集团有限责任公司</w:t>
            </w:r>
          </w:p>
        </w:tc>
        <w:tc>
          <w:tcPr>
            <w:tcW w:w="11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国有法人</w:t>
            </w:r>
          </w:p>
        </w:tc>
        <w:tc>
          <w:tcPr>
            <w:tcW w:w="13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59.62%</w:t>
            </w:r>
          </w:p>
        </w:tc>
        <w:tc>
          <w:tcPr>
            <w:tcW w:w="166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2,075,329,926</w:t>
            </w:r>
          </w:p>
        </w:tc>
        <w:tc>
          <w:tcPr>
            <w:tcW w:w="17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219,512,196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中国能源建设集团有限公司</w:t>
            </w:r>
          </w:p>
        </w:tc>
        <w:tc>
          <w:tcPr>
            <w:tcW w:w="11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国有法人</w:t>
            </w:r>
          </w:p>
        </w:tc>
        <w:tc>
          <w:tcPr>
            <w:tcW w:w="13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3.50%</w:t>
            </w:r>
          </w:p>
        </w:tc>
        <w:tc>
          <w:tcPr>
            <w:tcW w:w="166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121,951,219</w:t>
            </w:r>
          </w:p>
        </w:tc>
        <w:tc>
          <w:tcPr>
            <w:tcW w:w="17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湖北省铁路发展基金有限责任公司</w:t>
            </w:r>
          </w:p>
        </w:tc>
        <w:tc>
          <w:tcPr>
            <w:tcW w:w="11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境内非国有法人</w:t>
            </w:r>
          </w:p>
        </w:tc>
        <w:tc>
          <w:tcPr>
            <w:tcW w:w="13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2.10%</w:t>
            </w:r>
          </w:p>
        </w:tc>
        <w:tc>
          <w:tcPr>
            <w:tcW w:w="166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73,170,731</w:t>
            </w:r>
          </w:p>
        </w:tc>
        <w:tc>
          <w:tcPr>
            <w:tcW w:w="17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易米基金－日照钢铁控股集团有限公司－易米基金元启二号单一资产管理计划</w:t>
            </w:r>
          </w:p>
        </w:tc>
        <w:tc>
          <w:tcPr>
            <w:tcW w:w="11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13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1.40%</w:t>
            </w:r>
          </w:p>
        </w:tc>
        <w:tc>
          <w:tcPr>
            <w:tcW w:w="166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48,780,487</w:t>
            </w:r>
          </w:p>
        </w:tc>
        <w:tc>
          <w:tcPr>
            <w:tcW w:w="17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湖北能源集团股份有限公司</w:t>
            </w:r>
          </w:p>
        </w:tc>
        <w:tc>
          <w:tcPr>
            <w:tcW w:w="11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国有法人</w:t>
            </w:r>
          </w:p>
        </w:tc>
        <w:tc>
          <w:tcPr>
            <w:tcW w:w="13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1.18%</w:t>
            </w:r>
          </w:p>
        </w:tc>
        <w:tc>
          <w:tcPr>
            <w:tcW w:w="166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41,158,725</w:t>
            </w:r>
          </w:p>
        </w:tc>
        <w:tc>
          <w:tcPr>
            <w:tcW w:w="17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瑞众人寿保险有限责任公司－自有资金</w:t>
            </w:r>
          </w:p>
        </w:tc>
        <w:tc>
          <w:tcPr>
            <w:tcW w:w="11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13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0.70%</w:t>
            </w:r>
          </w:p>
        </w:tc>
        <w:tc>
          <w:tcPr>
            <w:tcW w:w="166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24,390,243</w:t>
            </w:r>
          </w:p>
        </w:tc>
        <w:tc>
          <w:tcPr>
            <w:tcW w:w="17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王梓煜</w:t>
            </w:r>
          </w:p>
        </w:tc>
        <w:tc>
          <w:tcPr>
            <w:tcW w:w="11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境内自然人</w:t>
            </w:r>
          </w:p>
        </w:tc>
        <w:tc>
          <w:tcPr>
            <w:tcW w:w="13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0.69%</w:t>
            </w:r>
          </w:p>
        </w:tc>
        <w:tc>
          <w:tcPr>
            <w:tcW w:w="166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24,055,221</w:t>
            </w:r>
          </w:p>
        </w:tc>
        <w:tc>
          <w:tcPr>
            <w:tcW w:w="17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国调创新（北京）私募基金管理有限公司－国调创新私募股权投资基金（南昌）合伙企业（有限合伙）</w:t>
            </w:r>
          </w:p>
        </w:tc>
        <w:tc>
          <w:tcPr>
            <w:tcW w:w="11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13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0.56%</w:t>
            </w:r>
          </w:p>
        </w:tc>
        <w:tc>
          <w:tcPr>
            <w:tcW w:w="166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19,512,195</w:t>
            </w:r>
          </w:p>
        </w:tc>
        <w:tc>
          <w:tcPr>
            <w:tcW w:w="17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江苏高投毅达绿色转型产业投资基金（有限合伙）</w:t>
            </w:r>
          </w:p>
        </w:tc>
        <w:tc>
          <w:tcPr>
            <w:tcW w:w="11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境内非国有法人</w:t>
            </w:r>
          </w:p>
        </w:tc>
        <w:tc>
          <w:tcPr>
            <w:tcW w:w="13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0.44%</w:t>
            </w:r>
          </w:p>
        </w:tc>
        <w:tc>
          <w:tcPr>
            <w:tcW w:w="166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15,238,395</w:t>
            </w:r>
          </w:p>
        </w:tc>
        <w:tc>
          <w:tcPr>
            <w:tcW w:w="17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5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深圳市达晨财智创业投资管理有限公司－江西赣江新区财投晨源股权投资中心（有限合伙）</w:t>
            </w:r>
          </w:p>
        </w:tc>
        <w:tc>
          <w:tcPr>
            <w:tcW w:w="11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其他</w:t>
            </w:r>
          </w:p>
        </w:tc>
        <w:tc>
          <w:tcPr>
            <w:tcW w:w="13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0.33%</w:t>
            </w:r>
          </w:p>
        </w:tc>
        <w:tc>
          <w:tcPr>
            <w:tcW w:w="166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11,583,170</w:t>
            </w:r>
          </w:p>
        </w:tc>
        <w:tc>
          <w:tcPr>
            <w:tcW w:w="173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8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上述股东关联关系或一致行动的说明</w:t>
            </w:r>
          </w:p>
        </w:tc>
        <w:tc>
          <w:tcPr>
            <w:tcW w:w="6856" w:type="dxa"/>
            <w:gridSpan w:val="6"/>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国家能源投资集团有限责任公司是湖北能源集团股份有限公司的股东，持股比例为3.26%。除此之外，上述股东之间未知是否存在其它关联关系或属于《上市公司收购管理办法》规定的一致行动人。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8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参与融资融券业务股东情况说明（如有）</w:t>
            </w:r>
          </w:p>
        </w:tc>
        <w:tc>
          <w:tcPr>
            <w:tcW w:w="6856" w:type="dxa"/>
            <w:gridSpan w:val="6"/>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股东王梓煜，通过国泰海通证券股份有限公司客户信用交易担保证券账户持有本公司股票24,055,221股。</w:t>
            </w:r>
          </w:p>
        </w:tc>
      </w:tr>
    </w:tbl>
    <w:p>
      <w:pPr>
        <w:spacing w:before="100" w:after="10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持股5%以上股东、前10名股东及前10名无限售流通股股东参与转融通业务出借股份情况</w:t>
      </w:r>
    </w:p>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□适用 </w:t>
      </w:r>
      <w:r>
        <w:rPr>
          <w:rFonts w:hint="default" w:ascii="Times New Roman" w:hAnsi="Times New Roman" w:eastAsia="宋体" w:cs="Times New Roman"/>
          <w:sz w:val="21"/>
          <w:szCs w:val="21"/>
        </w:rPr>
        <w:sym w:font="Wingdings 2" w:char="F052"/>
      </w:r>
      <w:r>
        <w:rPr>
          <w:rFonts w:hint="default" w:ascii="Times New Roman" w:hAnsi="Times New Roman" w:eastAsia="宋体" w:cs="Times New Roman"/>
          <w:sz w:val="21"/>
          <w:szCs w:val="21"/>
        </w:rPr>
        <w:t>不适用</w:t>
      </w:r>
    </w:p>
    <w:p>
      <w:pPr>
        <w:spacing w:before="100" w:after="10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前10名股东及前10名无限售流通股股东因转融通出借/归还原因导致较上期发生变化</w:t>
      </w:r>
    </w:p>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□适用 </w:t>
      </w:r>
      <w:r>
        <w:rPr>
          <w:rFonts w:hint="default" w:ascii="Times New Roman" w:hAnsi="Times New Roman" w:eastAsia="宋体" w:cs="Times New Roman"/>
          <w:sz w:val="21"/>
          <w:szCs w:val="21"/>
        </w:rPr>
        <w:sym w:font="Wingdings 2" w:char="F052"/>
      </w:r>
      <w:r>
        <w:rPr>
          <w:rFonts w:hint="default" w:ascii="Times New Roman" w:hAnsi="Times New Roman" w:eastAsia="宋体" w:cs="Times New Roman"/>
          <w:sz w:val="21"/>
          <w:szCs w:val="21"/>
        </w:rPr>
        <w:t>不适用</w:t>
      </w:r>
    </w:p>
    <w:p>
      <w:pPr>
        <w:keepNext/>
        <w:keepLines/>
        <w:spacing w:before="300" w:after="300" w:line="280" w:lineRule="exact"/>
        <w:jc w:val="left"/>
        <w:outlineLvl w:val="2"/>
        <w:rPr>
          <w:rFonts w:hint="default" w:ascii="Times New Roman" w:hAnsi="Times New Roman" w:eastAsia="宋体" w:cs="Times New Roman"/>
          <w:b/>
          <w:bCs/>
          <w:sz w:val="21"/>
          <w:szCs w:val="21"/>
        </w:rPr>
      </w:pPr>
      <w:bookmarkStart w:id="5" w:name="_Toc988894"/>
      <w:r>
        <w:rPr>
          <w:rFonts w:hint="default" w:ascii="Times New Roman" w:hAnsi="Times New Roman" w:eastAsia="宋体" w:cs="Times New Roman"/>
          <w:b/>
          <w:bCs/>
          <w:sz w:val="21"/>
          <w:szCs w:val="21"/>
        </w:rPr>
        <w:t>4、控股股东或实际控制人变更情况</w:t>
      </w:r>
      <w:bookmarkEnd w:id="5"/>
    </w:p>
    <w:p>
      <w:pPr>
        <w:spacing w:before="40" w:after="4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控股股东报告期内变更</w:t>
      </w:r>
    </w:p>
    <w:p>
      <w:pPr>
        <w:spacing w:before="40" w:after="4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□适用 </w:t>
      </w:r>
      <w:r>
        <w:rPr>
          <w:rFonts w:hint="default" w:ascii="Times New Roman" w:hAnsi="Times New Roman" w:eastAsia="宋体" w:cs="Times New Roman"/>
          <w:sz w:val="21"/>
          <w:szCs w:val="21"/>
        </w:rPr>
        <w:sym w:font="Wingdings 2" w:char="F052"/>
      </w:r>
      <w:r>
        <w:rPr>
          <w:rFonts w:hint="default" w:ascii="Times New Roman" w:hAnsi="Times New Roman" w:eastAsia="宋体" w:cs="Times New Roman"/>
          <w:sz w:val="21"/>
          <w:szCs w:val="21"/>
        </w:rPr>
        <w:t>不适用</w:t>
      </w:r>
    </w:p>
    <w:p>
      <w:pPr>
        <w:spacing w:before="40" w:after="4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公司报告期控股股东未发生变更。</w:t>
      </w:r>
    </w:p>
    <w:p>
      <w:pPr>
        <w:spacing w:before="100" w:after="10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实际控制人报告期内变更</w:t>
      </w:r>
    </w:p>
    <w:p>
      <w:pPr>
        <w:spacing w:before="40" w:after="4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□适用 </w:t>
      </w:r>
      <w:r>
        <w:rPr>
          <w:rFonts w:hint="default" w:ascii="Times New Roman" w:hAnsi="Times New Roman" w:eastAsia="宋体" w:cs="Times New Roman"/>
          <w:sz w:val="21"/>
          <w:szCs w:val="21"/>
        </w:rPr>
        <w:sym w:font="Wingdings 2" w:char="F052"/>
      </w:r>
      <w:r>
        <w:rPr>
          <w:rFonts w:hint="default" w:ascii="Times New Roman" w:hAnsi="Times New Roman" w:eastAsia="宋体" w:cs="Times New Roman"/>
          <w:sz w:val="21"/>
          <w:szCs w:val="21"/>
        </w:rPr>
        <w:t>不适用</w:t>
      </w:r>
    </w:p>
    <w:p>
      <w:pPr>
        <w:spacing w:before="40" w:after="40" w:line="240" w:lineRule="exact"/>
        <w:jc w:val="left"/>
        <w:rPr>
          <w:rFonts w:hint="default" w:ascii="Times New Roman" w:hAnsi="Times New Roman" w:eastAsia="宋体" w:cs="Times New Roman"/>
          <w:sz w:val="18"/>
          <w:szCs w:val="18"/>
        </w:rPr>
      </w:pPr>
      <w:r>
        <w:rPr>
          <w:rFonts w:hint="default" w:ascii="Times New Roman" w:hAnsi="Times New Roman" w:eastAsia="宋体" w:cs="Times New Roman"/>
          <w:sz w:val="21"/>
          <w:szCs w:val="21"/>
        </w:rPr>
        <w:t>公司报告期实际控制人未发生变更。</w:t>
      </w:r>
    </w:p>
    <w:p>
      <w:pPr>
        <w:keepNext/>
        <w:keepLines/>
        <w:spacing w:before="300" w:after="300" w:line="280" w:lineRule="exact"/>
        <w:jc w:val="left"/>
        <w:outlineLvl w:val="2"/>
        <w:rPr>
          <w:rFonts w:hint="default" w:ascii="Times New Roman" w:hAnsi="Times New Roman" w:eastAsia="宋体" w:cs="Times New Roman"/>
          <w:b/>
          <w:bCs/>
          <w:sz w:val="21"/>
          <w:szCs w:val="21"/>
        </w:rPr>
      </w:pPr>
      <w:bookmarkStart w:id="6" w:name="_Toc988895"/>
      <w:r>
        <w:rPr>
          <w:rFonts w:hint="default" w:ascii="Times New Roman" w:hAnsi="Times New Roman" w:eastAsia="宋体" w:cs="Times New Roman"/>
          <w:b/>
          <w:bCs/>
          <w:sz w:val="21"/>
          <w:szCs w:val="21"/>
        </w:rPr>
        <w:t>5、公司优先股股东总数及前10名优先股股东持股情况表</w:t>
      </w:r>
      <w:bookmarkEnd w:id="6"/>
    </w:p>
    <w:p>
      <w:pPr>
        <w:spacing w:before="40" w:after="4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□适用 </w:t>
      </w:r>
      <w:r>
        <w:rPr>
          <w:rFonts w:hint="default" w:ascii="Times New Roman" w:hAnsi="Times New Roman" w:eastAsia="宋体" w:cs="Times New Roman"/>
          <w:sz w:val="21"/>
          <w:szCs w:val="21"/>
        </w:rPr>
        <w:sym w:font="Wingdings 2" w:char="F052"/>
      </w:r>
      <w:r>
        <w:rPr>
          <w:rFonts w:hint="default" w:ascii="Times New Roman" w:hAnsi="Times New Roman" w:eastAsia="宋体" w:cs="Times New Roman"/>
          <w:sz w:val="21"/>
          <w:szCs w:val="21"/>
        </w:rPr>
        <w:t>不适用</w:t>
      </w:r>
    </w:p>
    <w:p>
      <w:pPr>
        <w:spacing w:before="0" w:after="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公司报告期无优先股股东持股情况。</w:t>
      </w:r>
    </w:p>
    <w:p>
      <w:pPr>
        <w:keepNext/>
        <w:keepLines/>
        <w:spacing w:before="300" w:after="300" w:line="280" w:lineRule="exact"/>
        <w:jc w:val="left"/>
        <w:outlineLvl w:val="2"/>
        <w:rPr>
          <w:rFonts w:hint="default" w:ascii="Times New Roman" w:hAnsi="Times New Roman" w:eastAsia="宋体" w:cs="Times New Roman"/>
          <w:b/>
          <w:bCs/>
          <w:sz w:val="21"/>
          <w:szCs w:val="21"/>
        </w:rPr>
      </w:pPr>
      <w:bookmarkStart w:id="7" w:name="_Toc988896"/>
      <w:r>
        <w:rPr>
          <w:rFonts w:hint="default" w:ascii="Times New Roman" w:hAnsi="Times New Roman" w:eastAsia="宋体" w:cs="Times New Roman"/>
          <w:b/>
          <w:bCs/>
          <w:sz w:val="21"/>
          <w:szCs w:val="21"/>
        </w:rPr>
        <w:t>6、在半年度报告批准报出日存续的债券情况</w:t>
      </w:r>
      <w:bookmarkEnd w:id="7"/>
    </w:p>
    <w:p>
      <w:pPr>
        <w:spacing w:before="40" w:after="40"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□适用 </w:t>
      </w:r>
      <w:r>
        <w:rPr>
          <w:rFonts w:hint="default" w:ascii="Times New Roman" w:hAnsi="Times New Roman" w:eastAsia="宋体" w:cs="Times New Roman"/>
          <w:sz w:val="21"/>
          <w:szCs w:val="21"/>
        </w:rPr>
        <w:sym w:font="Wingdings 2" w:char="F052"/>
      </w:r>
      <w:r>
        <w:rPr>
          <w:rFonts w:hint="default" w:ascii="Times New Roman" w:hAnsi="Times New Roman" w:eastAsia="宋体" w:cs="Times New Roman"/>
          <w:sz w:val="21"/>
          <w:szCs w:val="21"/>
        </w:rPr>
        <w:t>不适用</w:t>
      </w:r>
    </w:p>
    <w:p>
      <w:pPr>
        <w:keepNext/>
        <w:keepLines/>
        <w:spacing w:before="300" w:after="300" w:line="320" w:lineRule="exact"/>
        <w:jc w:val="left"/>
        <w:outlineLvl w:val="1"/>
        <w:rPr>
          <w:rFonts w:hint="default" w:ascii="Times New Roman" w:hAnsi="Times New Roman" w:eastAsia="宋体" w:cs="Times New Roman"/>
          <w:b/>
          <w:bCs/>
          <w:sz w:val="24"/>
          <w:szCs w:val="24"/>
        </w:rPr>
      </w:pPr>
      <w:bookmarkStart w:id="8" w:name="_Toc988897"/>
      <w:r>
        <w:rPr>
          <w:rFonts w:hint="default" w:ascii="Times New Roman" w:hAnsi="Times New Roman" w:eastAsia="宋体" w:cs="Times New Roman"/>
          <w:b/>
          <w:bCs/>
          <w:sz w:val="24"/>
          <w:szCs w:val="24"/>
        </w:rPr>
        <w:t>三、重要事项</w:t>
      </w:r>
      <w:bookmarkEnd w:id="8"/>
    </w:p>
    <w:p>
      <w:pPr>
        <w:pStyle w:val="3"/>
        <w:keepNext w:val="0"/>
        <w:keepLines w:val="0"/>
        <w:widowControl/>
        <w:suppressLineNumbers w:val="0"/>
        <w:spacing w:before="0" w:beforeAutospacing="0" w:after="0" w:afterAutospacing="0"/>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1. 报告期内，公司董事会收到公司副董事长李海滨先生的书面辞职报告。因正常工作调整，李海滨先生申请辞去公司副董事长、董事职务，辞职后将不在公司及其控股子公司任职（具体内容详见公司于 2025年4月22日在《中国证券报》《证券时报》和巨潮资讯网上披露的《关于公司董事辞职的公告》，公告编号：2025-021）。</w:t>
      </w:r>
    </w:p>
    <w:p>
      <w:pPr>
        <w:pStyle w:val="3"/>
        <w:keepNext w:val="0"/>
        <w:keepLines w:val="0"/>
        <w:widowControl/>
        <w:suppressLineNumbers w:val="0"/>
        <w:spacing w:before="0" w:beforeAutospacing="0" w:after="0" w:afterAutospacing="0"/>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2. 报告期内，经</w:t>
      </w:r>
      <w:r>
        <w:rPr>
          <w:rFonts w:hint="default" w:ascii="Times New Roman" w:hAnsi="Times New Roman" w:eastAsia="宋体" w:cs="Times New Roman"/>
          <w:color w:val="000000"/>
          <w:sz w:val="24"/>
          <w:szCs w:val="24"/>
        </w:rPr>
        <w:t>公司第十届董事会第三十二次会议、第十届监事会第二十一次会议审议通过，公司2024年度计提信用减值损失和资产减值损失共计8,822.88万元，相应减少公司2024年度营业利润8,822.88万元</w:t>
      </w:r>
      <w:r>
        <w:rPr>
          <w:rFonts w:hint="default" w:ascii="Times New Roman" w:hAnsi="Times New Roman" w:eastAsia="宋体" w:cs="Times New Roman"/>
          <w:sz w:val="24"/>
          <w:szCs w:val="24"/>
        </w:rPr>
        <w:t>（具体内容详见公司于2025年4月26日在《中国证券报》《证券时报》和巨潮资讯网上披露的《关于计提资产减值准备的公告》，公告编号：2025-028）。</w:t>
      </w:r>
    </w:p>
    <w:p>
      <w:pPr>
        <w:pStyle w:val="3"/>
        <w:keepNext w:val="0"/>
        <w:keepLines w:val="0"/>
        <w:widowControl/>
        <w:suppressLineNumbers w:val="0"/>
        <w:spacing w:before="0" w:beforeAutospacing="0" w:after="0" w:afterAutospacing="0"/>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3. 报告期内，经公司第十届董事会第三十二次会议及2024年度股东大会审议通过，2024年度利润分配方案为：</w:t>
      </w:r>
      <w:r>
        <w:rPr>
          <w:rFonts w:hint="default" w:ascii="Times New Roman" w:hAnsi="Times New Roman" w:eastAsia="宋体" w:cs="Times New Roman"/>
          <w:color w:val="000000"/>
          <w:sz w:val="24"/>
          <w:szCs w:val="24"/>
        </w:rPr>
        <w:t>以2024年股本3,481,035,016股为基数，向公司全体股东每10股派现金0.72元（含税），共计派发现金股利250,634,521.15元（含税），本次不采用股票股利分配方式，亦不进行资本公积金转增股本</w:t>
      </w:r>
      <w:r>
        <w:rPr>
          <w:rFonts w:hint="default" w:ascii="Times New Roman" w:hAnsi="Times New Roman" w:eastAsia="宋体" w:cs="Times New Roman"/>
          <w:sz w:val="24"/>
          <w:szCs w:val="24"/>
        </w:rPr>
        <w:t>。截至本报告披露日，公司已完成2024年年度分红派息的实施，除权除息日为</w:t>
      </w:r>
      <w:r>
        <w:rPr>
          <w:rFonts w:hint="default" w:ascii="Times New Roman" w:hAnsi="Times New Roman" w:eastAsia="宋体" w:cs="Times New Roman"/>
          <w:color w:val="000000"/>
          <w:sz w:val="24"/>
          <w:szCs w:val="24"/>
        </w:rPr>
        <w:t>2025年7月15日</w:t>
      </w:r>
      <w:r>
        <w:rPr>
          <w:rFonts w:hint="default" w:ascii="Times New Roman" w:hAnsi="Times New Roman" w:eastAsia="宋体" w:cs="Times New Roman"/>
          <w:sz w:val="24"/>
          <w:szCs w:val="24"/>
        </w:rPr>
        <w:t>（具体内容详见公司于202</w:t>
      </w:r>
      <w:r>
        <w:rPr>
          <w:rFonts w:hint="eastAsia" w:cs="Times New Roman"/>
          <w:sz w:val="24"/>
          <w:szCs w:val="24"/>
          <w:lang w:val="en-US" w:eastAsia="zh-CN"/>
        </w:rPr>
        <w:t>5</w:t>
      </w:r>
      <w:r>
        <w:rPr>
          <w:rFonts w:hint="default" w:ascii="Times New Roman" w:hAnsi="Times New Roman" w:eastAsia="宋体" w:cs="Times New Roman"/>
          <w:sz w:val="24"/>
          <w:szCs w:val="24"/>
        </w:rPr>
        <w:t>年4月26日、5月30日、7月8日在《中国证券报》《证券时报》和巨潮资讯网上披露的有关公告，公告编号：2025-022、025、043、047）。</w:t>
      </w:r>
    </w:p>
    <w:p>
      <w:pPr>
        <w:pStyle w:val="3"/>
        <w:keepNext w:val="0"/>
        <w:keepLines w:val="0"/>
        <w:widowControl/>
        <w:suppressLineNumbers w:val="0"/>
        <w:spacing w:before="0" w:beforeAutospacing="0" w:after="0" w:afterAutospacing="0"/>
        <w:ind w:left="0" w:right="0" w:firstLine="480"/>
        <w:jc w:val="both"/>
        <w:rPr>
          <w:rFonts w:hint="default" w:ascii="Times New Roman" w:hAnsi="Times New Roman" w:cs="Times New Roman"/>
          <w:sz w:val="24"/>
          <w:szCs w:val="24"/>
        </w:rPr>
      </w:pPr>
      <w:r>
        <w:rPr>
          <w:rFonts w:hint="default" w:ascii="Times New Roman" w:hAnsi="Times New Roman" w:eastAsia="宋体" w:cs="Times New Roman"/>
          <w:sz w:val="24"/>
          <w:szCs w:val="24"/>
        </w:rPr>
        <w:t>4. 经中国证监会出具的《关于同意国家能源集团长源电力股份有限公司向特定对象发行股票注册的批复》（证监许可〔2024〕1021号）同意注册，公司向特定对象发行人民币普通股（A股）共计731,707,317股，发行价格为4.10元/股。本次向特定对象发行股票新增731,707,317股于2024年12月3日上市，其中，公司控股股东国家能源集团认购的股份自发行结束并上市之日起18个月内不得转让，其他发行对象认购的股份自发行结束并上市之日起6个月内不得转让。报告期内，公司完成了本次向特定对象发行股票部分股份的解除限售，解除限售股份数量为512,195,121股，占公司总股本3,481,035,016股的14.71%</w:t>
      </w:r>
      <w:r>
        <w:rPr>
          <w:rFonts w:hint="default" w:ascii="Times New Roman" w:hAnsi="Times New Roman" w:eastAsia="宋体" w:cs="Times New Roman"/>
          <w:color w:val="000000"/>
          <w:sz w:val="24"/>
          <w:szCs w:val="24"/>
        </w:rPr>
        <w:t>，</w:t>
      </w:r>
      <w:r>
        <w:rPr>
          <w:rFonts w:hint="default" w:ascii="Times New Roman" w:hAnsi="Times New Roman" w:eastAsia="宋体" w:cs="Times New Roman"/>
          <w:sz w:val="24"/>
          <w:szCs w:val="24"/>
        </w:rPr>
        <w:t>本次解除限售股份的上市流通日期为2025年6月3日（具体内容详见公司于</w:t>
      </w:r>
      <w:r>
        <w:rPr>
          <w:rFonts w:hint="default" w:ascii="Times New Roman" w:hAnsi="Times New Roman" w:eastAsia="宋体" w:cs="Times New Roman"/>
          <w:spacing w:val="1"/>
          <w:sz w:val="24"/>
          <w:szCs w:val="24"/>
        </w:rPr>
        <w:t>2025年5月29日</w:t>
      </w:r>
      <w:r>
        <w:rPr>
          <w:rFonts w:hint="default" w:ascii="Times New Roman" w:hAnsi="Times New Roman" w:eastAsia="宋体" w:cs="Times New Roman"/>
          <w:sz w:val="24"/>
          <w:szCs w:val="24"/>
        </w:rPr>
        <w:t>在《中国证券报》《证券时报》和巨潮资讯网上披露的《关于向特定对象发行股票部分限售股份解除限售上市流通的提示性公告》，公告编号：</w:t>
      </w:r>
      <w:r>
        <w:rPr>
          <w:rFonts w:hint="default" w:ascii="Times New Roman" w:hAnsi="Times New Roman" w:eastAsia="宋体" w:cs="Times New Roman"/>
          <w:spacing w:val="1"/>
          <w:sz w:val="24"/>
          <w:szCs w:val="24"/>
        </w:rPr>
        <w:t>2025-041</w:t>
      </w:r>
      <w:r>
        <w:rPr>
          <w:rFonts w:hint="default" w:ascii="Times New Roman" w:hAnsi="Times New Roman" w:eastAsia="宋体" w:cs="Times New Roman"/>
          <w:sz w:val="24"/>
          <w:szCs w:val="24"/>
        </w:rPr>
        <w:t>）。</w:t>
      </w:r>
    </w:p>
    <w:p>
      <w:pPr>
        <w:pStyle w:val="3"/>
        <w:keepNext w:val="0"/>
        <w:keepLines w:val="0"/>
        <w:widowControl/>
        <w:suppressLineNumbers w:val="0"/>
        <w:spacing w:before="0" w:beforeAutospacing="0" w:after="0" w:afterAutospacing="0" w:line="380" w:lineRule="atLeast"/>
        <w:ind w:left="0" w:right="0" w:firstLine="480"/>
        <w:jc w:val="both"/>
        <w:rPr>
          <w:rFonts w:hint="default" w:ascii="Times New Roman" w:hAnsi="Times New Roman" w:cs="Times New Roman"/>
          <w:sz w:val="21"/>
          <w:szCs w:val="21"/>
        </w:rPr>
      </w:pPr>
      <w:r>
        <w:rPr>
          <w:rFonts w:hint="default" w:ascii="Times New Roman" w:hAnsi="Times New Roman" w:eastAsia="宋体" w:cs="Times New Roman"/>
          <w:color w:val="000000"/>
          <w:sz w:val="24"/>
          <w:szCs w:val="24"/>
        </w:rPr>
        <w:t> </w:t>
      </w:r>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ascii="宋体" w:eastAsia="宋体"/>
        <w:sz w:val="18"/>
        <w:szCs w:val="18"/>
      </w:rPr>
      <w:fldChar w:fldCharType="begin"/>
    </w:r>
    <w:r>
      <w:rPr>
        <w:rFonts w:ascii="宋体" w:eastAsia="宋体"/>
        <w:sz w:val="18"/>
        <w:szCs w:val="18"/>
      </w:rPr>
      <w:instrText xml:space="preserve">PAGE   \* MERGEFORMAT</w:instrText>
    </w:r>
    <w:r>
      <w:rPr>
        <w:rFonts w:ascii="宋体" w:eastAsia="宋体"/>
        <w:sz w:val="18"/>
        <w:szCs w:val="18"/>
      </w:rPr>
      <w:fldChar w:fldCharType="separate"/>
    </w:r>
    <w:r>
      <w:rPr>
        <w:rFonts w:ascii="宋体" w:eastAsia="宋体"/>
        <w:sz w:val="18"/>
        <w:szCs w:val="18"/>
      </w:rPr>
      <w:t>1</w:t>
    </w:r>
    <w:r>
      <w:rPr>
        <w:rFonts w:ascii="宋体" w:eastAsia="宋体"/>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right"/>
    </w:pPr>
    <w:r>
      <w:rPr>
        <w:rFonts w:ascii="宋体" w:eastAsia="宋体"/>
        <w:sz w:val="18"/>
        <w:szCs w:val="18"/>
      </w:rPr>
      <w:t>国家能源集团长源电力股份有限公司2025年半年度报告摘要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trackRevisions w:val="1"/>
  <w:documentProtection w:enforcement="0"/>
  <w:compat>
    <w:doNotExpandShiftReturn/>
    <w:useFELayout/>
    <w:compatSetting w:name="compatibilityMode" w:uri="http://schemas.microsoft.com/office/word" w:val="14"/>
  </w:compat>
  <w:rsids>
    <w:rsidRoot w:val="00000000"/>
    <w:rsid w:val="1FC63AC6"/>
    <w:rsid w:val="290029D7"/>
    <w:rsid w:val="2B4E737E"/>
    <w:rsid w:val="2F8C52B3"/>
    <w:rsid w:val="5DFE2B35"/>
    <w:rsid w:val="618D7C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paragraph" w:styleId="2">
    <w:name w:val="heading 2"/>
    <w:basedOn w:val="1"/>
    <w:next w:val="1"/>
    <w:unhideWhenUsed/>
    <w:qFormat/>
    <w:uiPriority w:val="0"/>
    <w:pPr>
      <w:spacing w:before="0" w:beforeAutospacing="0" w:after="0" w:afterAutospacing="0"/>
      <w:ind w:left="0" w:right="0"/>
      <w:jc w:val="left"/>
      <w:outlineLvl w:val="1"/>
    </w:pPr>
    <w:rPr>
      <w:rFonts w:hint="eastAsia" w:ascii="宋体" w:hAnsi="宋体" w:eastAsia="宋体" w:cs="宋体"/>
      <w:b/>
      <w:color w:val="000000"/>
      <w:kern w:val="0"/>
      <w:sz w:val="21"/>
      <w:szCs w:val="21"/>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38</TotalTime>
  <ScaleCrop>false</ScaleCrop>
  <LinksUpToDate>false</LinksUpToDate>
  <Application>WPS Office_11.8.2.11716_F1E327BC-269C-435d-A152-05C5408002CA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2025-08-01T07:00:00Z</dcterms:created>
  <dc:creator>LSadmin</dc:creator>
  <cp:lastModifiedBy>刘硕02</cp:lastModifiedBy>
  <cp:lastPrinted>2025-08-19T02:46:00Z</cp:lastPrinted>
  <dcterms:modified xsi:type="dcterms:W3CDTF">2025-08-22T02:05:19Z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C2F6E374DF564A67B3EB44B72BA59A10</vt:lpwstr>
  </property>
</Properties>
</file>