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val="0"/>
        <w:snapToGrid w:val="0"/>
        <w:spacing w:line="440" w:lineRule="exact"/>
        <w:jc w:val="both"/>
        <w:textAlignment w:val="auto"/>
        <w:rPr>
          <w:rFonts w:hint="default" w:ascii="Times New Roman" w:hAnsi="Times New Roman" w:eastAsia="宋体" w:cs="Times New Roman"/>
          <w:color w:val="000000"/>
          <w:kern w:val="0"/>
          <w:sz w:val="24"/>
          <w:highlight w:val="none"/>
          <w:lang w:val="en-US" w:eastAsia="zh-CN"/>
        </w:rPr>
      </w:pPr>
      <w:r>
        <w:rPr>
          <w:rFonts w:ascii="Times New Roman" w:hAnsi="Times New Roman" w:cs="Times New Roman"/>
          <w:color w:val="000000"/>
          <w:kern w:val="0"/>
          <w:sz w:val="24"/>
          <w:highlight w:val="none"/>
        </w:rPr>
        <w:t xml:space="preserve">证券代码：000966     </w:t>
      </w:r>
      <w:r>
        <w:rPr>
          <w:rFonts w:hint="default" w:ascii="Times New Roman" w:hAnsi="Times New Roman" w:cs="Times New Roman"/>
          <w:color w:val="000000"/>
          <w:kern w:val="0"/>
          <w:sz w:val="24"/>
          <w:highlight w:val="none"/>
          <w:lang w:val="en-US" w:eastAsia="zh-CN"/>
        </w:rPr>
        <w:t xml:space="preserve"> </w:t>
      </w:r>
      <w:r>
        <w:rPr>
          <w:rFonts w:ascii="Times New Roman" w:hAnsi="Times New Roman" w:cs="Times New Roman"/>
          <w:color w:val="000000"/>
          <w:kern w:val="0"/>
          <w:sz w:val="24"/>
          <w:highlight w:val="none"/>
        </w:rPr>
        <w:t xml:space="preserve">   </w:t>
      </w:r>
      <w:r>
        <w:rPr>
          <w:rFonts w:hint="default" w:ascii="Times New Roman" w:hAnsi="Times New Roman" w:cs="Times New Roman"/>
          <w:color w:val="000000"/>
          <w:kern w:val="0"/>
          <w:sz w:val="24"/>
          <w:highlight w:val="none"/>
          <w:lang w:val="en-US" w:eastAsia="zh-CN"/>
        </w:rPr>
        <w:t xml:space="preserve"> </w:t>
      </w:r>
      <w:r>
        <w:rPr>
          <w:rFonts w:ascii="Times New Roman" w:hAnsi="Times New Roman" w:cs="Times New Roman"/>
          <w:color w:val="000000"/>
          <w:kern w:val="0"/>
          <w:sz w:val="24"/>
          <w:highlight w:val="none"/>
        </w:rPr>
        <w:t xml:space="preserve">证券简称：长源电力  </w:t>
      </w:r>
      <w:r>
        <w:rPr>
          <w:rFonts w:hint="default" w:ascii="Times New Roman" w:hAnsi="Times New Roman" w:cs="Times New Roman"/>
          <w:color w:val="000000"/>
          <w:kern w:val="0"/>
          <w:sz w:val="24"/>
          <w:highlight w:val="none"/>
          <w:lang w:val="en-US" w:eastAsia="zh-CN"/>
        </w:rPr>
        <w:t xml:space="preserve"> </w:t>
      </w:r>
      <w:r>
        <w:rPr>
          <w:rFonts w:ascii="Times New Roman" w:hAnsi="Times New Roman" w:cs="Times New Roman"/>
          <w:color w:val="000000"/>
          <w:kern w:val="0"/>
          <w:sz w:val="24"/>
          <w:highlight w:val="none"/>
        </w:rPr>
        <w:t xml:space="preserve">     </w:t>
      </w:r>
      <w:r>
        <w:rPr>
          <w:rFonts w:hint="default" w:ascii="Times New Roman" w:hAnsi="Times New Roman" w:cs="Times New Roman"/>
          <w:color w:val="000000"/>
          <w:kern w:val="0"/>
          <w:sz w:val="24"/>
          <w:highlight w:val="none"/>
          <w:lang w:val="en-US" w:eastAsia="zh-CN"/>
        </w:rPr>
        <w:t xml:space="preserve">    </w:t>
      </w:r>
      <w:r>
        <w:rPr>
          <w:rFonts w:ascii="Times New Roman" w:hAnsi="Times New Roman" w:cs="Times New Roman"/>
          <w:color w:val="000000"/>
          <w:kern w:val="0"/>
          <w:sz w:val="24"/>
          <w:highlight w:val="none"/>
        </w:rPr>
        <w:t>编号：20</w:t>
      </w:r>
      <w:r>
        <w:rPr>
          <w:rFonts w:hint="default" w:ascii="Times New Roman" w:hAnsi="Times New Roman" w:cs="Times New Roman"/>
          <w:color w:val="000000"/>
          <w:kern w:val="0"/>
          <w:sz w:val="24"/>
          <w:highlight w:val="none"/>
          <w:lang w:val="en-US" w:eastAsia="zh-CN"/>
        </w:rPr>
        <w:t>2</w:t>
      </w:r>
      <w:r>
        <w:rPr>
          <w:rFonts w:hint="eastAsia" w:ascii="Times New Roman" w:hAnsi="Times New Roman" w:cs="Times New Roman"/>
          <w:color w:val="000000"/>
          <w:kern w:val="0"/>
          <w:sz w:val="24"/>
          <w:highlight w:val="none"/>
          <w:lang w:val="en-US" w:eastAsia="zh-CN"/>
        </w:rPr>
        <w:t>5</w:t>
      </w:r>
      <w:r>
        <w:rPr>
          <w:rFonts w:hint="default" w:ascii="Times New Roman" w:hAnsi="Times New Roman" w:cs="Times New Roman"/>
          <w:color w:val="000000"/>
          <w:kern w:val="0"/>
          <w:sz w:val="24"/>
          <w:highlight w:val="none"/>
          <w:lang w:val="en-US" w:eastAsia="zh-CN"/>
        </w:rPr>
        <w:t>-</w:t>
      </w:r>
      <w:r>
        <w:rPr>
          <w:rFonts w:hint="eastAsia" w:ascii="Times New Roman" w:hAnsi="Times New Roman" w:cs="Times New Roman"/>
          <w:color w:val="000000"/>
          <w:kern w:val="0"/>
          <w:sz w:val="24"/>
          <w:highlight w:val="none"/>
          <w:lang w:val="en-US" w:eastAsia="zh-CN"/>
        </w:rPr>
        <w:t>060</w:t>
      </w:r>
    </w:p>
    <w:p>
      <w:pPr>
        <w:keepNext w:val="0"/>
        <w:keepLines w:val="0"/>
        <w:pageBreakBefore w:val="0"/>
        <w:widowControl w:val="0"/>
        <w:kinsoku/>
        <w:wordWrap/>
        <w:overflowPunct/>
        <w:topLinePunct w:val="0"/>
        <w:bidi w:val="0"/>
        <w:adjustRightInd w:val="0"/>
        <w:snapToGrid w:val="0"/>
        <w:spacing w:line="440" w:lineRule="exact"/>
        <w:jc w:val="center"/>
        <w:textAlignment w:val="auto"/>
        <w:rPr>
          <w:rFonts w:ascii="Times New Roman" w:hAnsi="Times New Roman" w:cs="Times New Roman"/>
          <w:color w:val="000000"/>
          <w:sz w:val="32"/>
          <w:szCs w:val="32"/>
          <w:highlight w:val="none"/>
        </w:rPr>
      </w:pPr>
    </w:p>
    <w:p>
      <w:pPr>
        <w:keepNext w:val="0"/>
        <w:keepLines w:val="0"/>
        <w:pageBreakBefore w:val="0"/>
        <w:widowControl w:val="0"/>
        <w:kinsoku/>
        <w:wordWrap/>
        <w:overflowPunct/>
        <w:topLinePunct w:val="0"/>
        <w:bidi w:val="0"/>
        <w:adjustRightInd w:val="0"/>
        <w:snapToGrid w:val="0"/>
        <w:spacing w:line="440" w:lineRule="exact"/>
        <w:jc w:val="center"/>
        <w:textAlignment w:val="auto"/>
        <w:rPr>
          <w:rFonts w:ascii="Times New Roman" w:hAnsi="Times New Roman" w:eastAsia="方正小标宋简体" w:cs="Times New Roman"/>
          <w:color w:val="000000"/>
          <w:sz w:val="32"/>
          <w:szCs w:val="32"/>
          <w:highlight w:val="none"/>
        </w:rPr>
      </w:pPr>
      <w:r>
        <w:rPr>
          <w:rFonts w:hint="default" w:ascii="Times New Roman" w:hAnsi="Times New Roman" w:eastAsia="方正小标宋简体" w:cs="Times New Roman"/>
          <w:color w:val="000000"/>
          <w:sz w:val="32"/>
          <w:szCs w:val="32"/>
          <w:highlight w:val="none"/>
          <w:lang w:eastAsia="zh-CN"/>
        </w:rPr>
        <w:t>国家能源集团</w:t>
      </w:r>
      <w:r>
        <w:rPr>
          <w:rFonts w:ascii="Times New Roman" w:hAnsi="Times New Roman" w:eastAsia="方正小标宋简体" w:cs="Times New Roman"/>
          <w:color w:val="000000"/>
          <w:sz w:val="32"/>
          <w:szCs w:val="32"/>
          <w:highlight w:val="none"/>
        </w:rPr>
        <w:t>长源电力股份有限公司</w:t>
      </w:r>
    </w:p>
    <w:p>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Times New Roman" w:hAnsi="Times New Roman" w:eastAsia="方正小标宋简体" w:cs="Times New Roman"/>
          <w:color w:val="000000"/>
          <w:sz w:val="32"/>
          <w:szCs w:val="32"/>
          <w:highlight w:val="none"/>
          <w:lang w:val="en-US" w:eastAsia="zh-CN"/>
        </w:rPr>
      </w:pPr>
      <w:r>
        <w:rPr>
          <w:rFonts w:hint="default" w:ascii="Times New Roman" w:hAnsi="Times New Roman" w:eastAsia="方正小标宋简体"/>
          <w:color w:val="000000"/>
          <w:sz w:val="32"/>
          <w:szCs w:val="32"/>
          <w:highlight w:val="none"/>
        </w:rPr>
        <w:t>关于国能长源谷城县冷集镇230MW农光互补光伏发电项目</w:t>
      </w:r>
      <w:r>
        <w:rPr>
          <w:rFonts w:hint="eastAsia" w:ascii="Times New Roman" w:hAnsi="Times New Roman" w:eastAsia="方正小标宋简体"/>
          <w:color w:val="000000"/>
          <w:sz w:val="32"/>
          <w:szCs w:val="32"/>
          <w:highlight w:val="none"/>
          <w:lang w:val="en-US" w:eastAsia="zh-CN"/>
        </w:rPr>
        <w:t>进展情况</w:t>
      </w:r>
      <w:r>
        <w:rPr>
          <w:rFonts w:hint="default" w:ascii="Times New Roman" w:hAnsi="Times New Roman" w:eastAsia="方正小标宋简体"/>
          <w:color w:val="000000"/>
          <w:sz w:val="32"/>
          <w:szCs w:val="32"/>
          <w:highlight w:val="none"/>
        </w:rPr>
        <w:t>的公告</w:t>
      </w: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ascii="Times New Roman" w:hAnsi="Times New Roman" w:cs="Times New Roman"/>
          <w:color w:val="000000"/>
          <w:sz w:val="32"/>
          <w:szCs w:val="32"/>
          <w:highlight w:val="non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58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80" w:lineRule="exact"/>
              <w:ind w:firstLine="480" w:firstLineChars="200"/>
              <w:textAlignment w:val="auto"/>
              <w:rPr>
                <w:rFonts w:ascii="Times New Roman" w:hAnsi="Times New Roman" w:cs="Times New Roman"/>
                <w:color w:val="000000"/>
                <w:sz w:val="24"/>
                <w:highlight w:val="none"/>
              </w:rPr>
            </w:pPr>
            <w:r>
              <w:rPr>
                <w:rFonts w:ascii="Times New Roman" w:hAnsi="Times New Roman" w:cs="Times New Roman"/>
                <w:color w:val="000000"/>
                <w:kern w:val="0"/>
                <w:sz w:val="24"/>
                <w:highlight w:val="none"/>
              </w:rPr>
              <w:t>本公司及</w:t>
            </w:r>
            <w:r>
              <w:rPr>
                <w:rFonts w:hint="default" w:ascii="Times New Roman" w:hAnsi="Times New Roman" w:cs="Times New Roman"/>
                <w:color w:val="000000"/>
                <w:kern w:val="0"/>
                <w:sz w:val="24"/>
                <w:highlight w:val="none"/>
                <w:lang w:eastAsia="zh-CN"/>
              </w:rPr>
              <w:t>董事会</w:t>
            </w:r>
            <w:r>
              <w:rPr>
                <w:rFonts w:ascii="Times New Roman" w:hAnsi="Times New Roman" w:cs="Times New Roman"/>
                <w:color w:val="000000"/>
                <w:kern w:val="0"/>
                <w:sz w:val="24"/>
                <w:highlight w:val="none"/>
              </w:rPr>
              <w:t>全体成员保证信息披露</w:t>
            </w:r>
            <w:r>
              <w:rPr>
                <w:rFonts w:hint="default" w:ascii="Times New Roman" w:hAnsi="Times New Roman" w:cs="Times New Roman"/>
                <w:color w:val="000000"/>
                <w:kern w:val="0"/>
                <w:sz w:val="24"/>
                <w:highlight w:val="none"/>
                <w:lang w:val="en-US" w:eastAsia="zh-CN"/>
              </w:rPr>
              <w:t>的</w:t>
            </w:r>
            <w:r>
              <w:rPr>
                <w:rFonts w:ascii="Times New Roman" w:hAnsi="Times New Roman" w:cs="Times New Roman"/>
                <w:color w:val="000000"/>
                <w:kern w:val="0"/>
                <w:sz w:val="24"/>
                <w:highlight w:val="none"/>
              </w:rPr>
              <w:t>内容真实、准确和完整，没有虚假记载、误导性陈述或重大遗漏。</w:t>
            </w:r>
          </w:p>
        </w:tc>
      </w:tr>
    </w:tbl>
    <w:p>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default" w:ascii="Times New Roman" w:hAnsi="Times New Roman" w:eastAsia="宋体" w:cs="Times New Roman"/>
          <w:b/>
          <w:color w:val="000000"/>
          <w:highlight w:val="none"/>
          <w:lang w:val="en-US" w:eastAsia="zh-CN"/>
        </w:rPr>
      </w:pPr>
      <w:r>
        <w:rPr>
          <w:rFonts w:hint="default" w:ascii="Times New Roman" w:hAnsi="Times New Roman" w:cs="Times New Roman"/>
          <w:b/>
          <w:color w:val="000000"/>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80" w:lineRule="exact"/>
        <w:ind w:firstLine="482" w:firstLineChars="200"/>
        <w:textAlignment w:val="auto"/>
        <w:rPr>
          <w:rFonts w:hint="default" w:ascii="Times New Roman" w:hAnsi="Times New Roman" w:eastAsia="宋体" w:cs="Times New Roman"/>
          <w:b/>
          <w:bCs/>
          <w:color w:val="000000"/>
          <w:sz w:val="24"/>
          <w:szCs w:val="24"/>
          <w:highlight w:val="none"/>
          <w:lang w:val="en-US" w:eastAsia="zh-CN"/>
        </w:rPr>
      </w:pPr>
      <w:r>
        <w:rPr>
          <w:rFonts w:hint="default" w:ascii="Times New Roman" w:hAnsi="Times New Roman" w:cs="Times New Roman"/>
          <w:b/>
          <w:bCs/>
          <w:color w:val="000000"/>
          <w:sz w:val="24"/>
          <w:szCs w:val="24"/>
          <w:highlight w:val="none"/>
          <w:lang w:val="en-US" w:eastAsia="zh-CN"/>
        </w:rPr>
        <w:t>一、对外投资概述</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eastAsia" w:ascii="Times New Roman" w:hAnsi="Times New Roman" w:eastAsia="宋体" w:cs="Times New Roman"/>
          <w:color w:val="000000"/>
          <w:sz w:val="24"/>
          <w:szCs w:val="24"/>
          <w:highlight w:val="none"/>
          <w:lang w:val="en-US" w:eastAsia="zh-CN"/>
        </w:rPr>
      </w:pPr>
      <w:r>
        <w:rPr>
          <w:rFonts w:hint="default" w:ascii="Times New Roman" w:hAnsi="Times New Roman" w:cs="Times New Roman"/>
          <w:color w:val="000000"/>
          <w:sz w:val="24"/>
          <w:szCs w:val="24"/>
          <w:highlight w:val="none"/>
        </w:rPr>
        <w:t>为促进公司绿色低碳转型发展，优化公司电源结构，增加新能源发电装机比重，</w:t>
      </w:r>
      <w:r>
        <w:rPr>
          <w:rFonts w:hint="eastAsia" w:ascii="Times New Roman" w:hAnsi="Times New Roman" w:cs="Times New Roman"/>
          <w:color w:val="000000"/>
          <w:sz w:val="24"/>
          <w:szCs w:val="24"/>
          <w:highlight w:val="none"/>
          <w:lang w:val="en-US" w:eastAsia="zh-CN"/>
        </w:rPr>
        <w:t>经公司第十届董事会第十九次会议审议通过</w:t>
      </w:r>
      <w:r>
        <w:rPr>
          <w:rFonts w:hint="eastAsia" w:ascii="Times New Roman" w:hAnsi="Times New Roman" w:cs="Times New Roman"/>
          <w:color w:val="000000"/>
          <w:sz w:val="24"/>
          <w:szCs w:val="28"/>
          <w:highlight w:val="none"/>
          <w:lang w:val="en-US" w:eastAsia="zh-CN"/>
        </w:rPr>
        <w:t>，</w:t>
      </w:r>
      <w:r>
        <w:rPr>
          <w:rFonts w:hint="default" w:ascii="Times New Roman" w:hAnsi="Times New Roman" w:cs="Times New Roman"/>
          <w:color w:val="000000"/>
          <w:sz w:val="24"/>
          <w:szCs w:val="28"/>
          <w:highlight w:val="none"/>
          <w:lang w:val="en-US" w:eastAsia="zh-CN"/>
        </w:rPr>
        <w:t>同意</w:t>
      </w:r>
      <w:r>
        <w:rPr>
          <w:rFonts w:hint="eastAsia" w:ascii="Times New Roman" w:hAnsi="Times New Roman" w:cs="Times New Roman"/>
          <w:color w:val="000000"/>
          <w:sz w:val="24"/>
          <w:szCs w:val="28"/>
          <w:highlight w:val="none"/>
          <w:lang w:val="en-US" w:eastAsia="zh-CN"/>
        </w:rPr>
        <w:t>以</w:t>
      </w:r>
      <w:r>
        <w:rPr>
          <w:rFonts w:hint="eastAsia" w:ascii="Times New Roman" w:hAnsi="Times New Roman" w:cs="Times New Roman"/>
          <w:color w:val="000000"/>
          <w:sz w:val="24"/>
          <w:szCs w:val="24"/>
          <w:highlight w:val="none"/>
          <w:lang w:eastAsia="zh-CN"/>
        </w:rPr>
        <w:t>公司全资子公司国能长源谷城新能源有限公司（以下简称谷城新能源</w:t>
      </w:r>
      <w:r>
        <w:rPr>
          <w:rFonts w:hint="eastAsia" w:ascii="Times New Roman" w:hAnsi="Times New Roman" w:cs="Times New Roman"/>
          <w:color w:val="000000"/>
          <w:sz w:val="24"/>
          <w:szCs w:val="24"/>
          <w:highlight w:val="none"/>
          <w:lang w:val="en-US" w:eastAsia="zh-CN"/>
        </w:rPr>
        <w:t>公司</w:t>
      </w:r>
      <w:r>
        <w:rPr>
          <w:rFonts w:hint="eastAsia" w:ascii="Times New Roman" w:hAnsi="Times New Roman" w:cs="Times New Roman"/>
          <w:color w:val="000000"/>
          <w:sz w:val="24"/>
          <w:szCs w:val="24"/>
          <w:highlight w:val="none"/>
          <w:lang w:eastAsia="zh-CN"/>
        </w:rPr>
        <w:t>）为主体投资建设国能长源谷城县冷集镇230MW农光互补光伏发电项目（以下简称冷集光伏项目）。冷集光伏项目规划装机容量</w:t>
      </w:r>
      <w:r>
        <w:rPr>
          <w:rFonts w:hint="eastAsia" w:ascii="Times New Roman" w:hAnsi="Times New Roman" w:cs="Times New Roman"/>
          <w:color w:val="000000"/>
          <w:sz w:val="24"/>
          <w:szCs w:val="24"/>
          <w:highlight w:val="none"/>
          <w:lang w:val="en-US" w:eastAsia="zh-CN"/>
        </w:rPr>
        <w:t>23</w:t>
      </w:r>
      <w:r>
        <w:rPr>
          <w:rFonts w:hint="eastAsia" w:ascii="Times New Roman" w:hAnsi="Times New Roman" w:cs="Times New Roman"/>
          <w:color w:val="000000"/>
          <w:sz w:val="24"/>
          <w:szCs w:val="24"/>
          <w:highlight w:val="none"/>
          <w:lang w:eastAsia="zh-CN"/>
        </w:rPr>
        <w:t>万千瓦，静态总投资108,489万元，动态总投资110,243万元</w:t>
      </w:r>
      <w:r>
        <w:rPr>
          <w:rFonts w:hint="default" w:ascii="Times New Roman" w:hAnsi="Times New Roman" w:cs="Times New Roman"/>
          <w:color w:val="auto"/>
          <w:sz w:val="24"/>
          <w:szCs w:val="24"/>
          <w:highlight w:val="none"/>
          <w:lang w:val="en-US" w:eastAsia="zh-CN"/>
        </w:rPr>
        <w:t>（项目</w:t>
      </w:r>
      <w:r>
        <w:rPr>
          <w:rFonts w:ascii="Times New Roman" w:hAnsi="Times New Roman" w:eastAsia="宋体" w:cs="Times New Roman"/>
          <w:color w:val="auto"/>
          <w:sz w:val="24"/>
          <w:highlight w:val="none"/>
          <w:lang w:eastAsia="zh-CN"/>
        </w:rPr>
        <w:t>具体</w:t>
      </w:r>
      <w:r>
        <w:rPr>
          <w:rFonts w:hint="default" w:ascii="Times New Roman" w:hAnsi="Times New Roman" w:eastAsia="宋体" w:cs="Times New Roman"/>
          <w:color w:val="auto"/>
          <w:sz w:val="24"/>
          <w:highlight w:val="none"/>
          <w:lang w:val="en-US" w:eastAsia="zh-CN"/>
        </w:rPr>
        <w:t>情况</w:t>
      </w:r>
      <w:r>
        <w:rPr>
          <w:rFonts w:ascii="Times New Roman" w:hAnsi="Times New Roman" w:eastAsia="宋体" w:cs="Times New Roman"/>
          <w:color w:val="auto"/>
          <w:sz w:val="24"/>
          <w:highlight w:val="none"/>
          <w:lang w:eastAsia="zh-CN"/>
        </w:rPr>
        <w:t>详见公司</w:t>
      </w:r>
      <w:r>
        <w:rPr>
          <w:rFonts w:ascii="Times New Roman" w:hAnsi="Times New Roman" w:eastAsia="宋体" w:cs="Times New Roman"/>
          <w:color w:val="auto"/>
          <w:sz w:val="24"/>
          <w:highlight w:val="none"/>
        </w:rPr>
        <w:t>于</w:t>
      </w:r>
      <w:r>
        <w:rPr>
          <w:rFonts w:hint="default" w:ascii="Times New Roman" w:hAnsi="Times New Roman" w:cs="Times New Roman"/>
          <w:color w:val="auto"/>
          <w:sz w:val="24"/>
          <w:highlight w:val="none"/>
          <w:lang w:val="en-US" w:eastAsia="zh-CN"/>
        </w:rPr>
        <w:t>202</w:t>
      </w:r>
      <w:r>
        <w:rPr>
          <w:rFonts w:hint="eastAsia" w:ascii="Times New Roman" w:hAnsi="Times New Roman" w:cs="Times New Roman"/>
          <w:color w:val="auto"/>
          <w:sz w:val="24"/>
          <w:highlight w:val="none"/>
          <w:lang w:val="en-US" w:eastAsia="zh-CN"/>
        </w:rPr>
        <w:t>3</w:t>
      </w:r>
      <w:r>
        <w:rPr>
          <w:rFonts w:ascii="Times New Roman" w:hAnsi="Times New Roman" w:eastAsia="宋体" w:cs="Times New Roman"/>
          <w:color w:val="auto"/>
          <w:sz w:val="24"/>
          <w:highlight w:val="none"/>
        </w:rPr>
        <w:t>年</w:t>
      </w:r>
      <w:r>
        <w:rPr>
          <w:rFonts w:hint="eastAsia" w:ascii="Times New Roman" w:hAnsi="Times New Roman" w:cs="Times New Roman"/>
          <w:color w:val="auto"/>
          <w:sz w:val="24"/>
          <w:highlight w:val="none"/>
          <w:lang w:val="en-US" w:eastAsia="zh-CN"/>
        </w:rPr>
        <w:t>11</w:t>
      </w:r>
      <w:r>
        <w:rPr>
          <w:rFonts w:ascii="Times New Roman" w:hAnsi="Times New Roman" w:eastAsia="宋体" w:cs="Times New Roman"/>
          <w:color w:val="auto"/>
          <w:sz w:val="24"/>
          <w:highlight w:val="none"/>
        </w:rPr>
        <w:t>月</w:t>
      </w:r>
      <w:r>
        <w:rPr>
          <w:rFonts w:hint="eastAsia" w:ascii="Times New Roman" w:hAnsi="Times New Roman" w:cs="Times New Roman"/>
          <w:color w:val="auto"/>
          <w:sz w:val="24"/>
          <w:highlight w:val="none"/>
          <w:lang w:val="en-US" w:eastAsia="zh-CN"/>
        </w:rPr>
        <w:t>30</w:t>
      </w:r>
      <w:r>
        <w:rPr>
          <w:rFonts w:ascii="Times New Roman" w:hAnsi="Times New Roman" w:eastAsia="宋体" w:cs="Times New Roman"/>
          <w:color w:val="auto"/>
          <w:sz w:val="24"/>
          <w:highlight w:val="none"/>
        </w:rPr>
        <w:t>日在《中国证券报》《证券时报》和巨潮资讯网上披露的《</w:t>
      </w:r>
      <w:r>
        <w:rPr>
          <w:rFonts w:hint="eastAsia" w:ascii="Times New Roman" w:hAnsi="Times New Roman" w:eastAsia="宋体" w:cs="Times New Roman"/>
          <w:color w:val="auto"/>
          <w:sz w:val="24"/>
          <w:highlight w:val="none"/>
        </w:rPr>
        <w:t>关于增资全资子公司并投资建设国能长源谷城县冷集镇230MW农光互补光伏发电项目的公告</w:t>
      </w:r>
      <w:r>
        <w:rPr>
          <w:rFonts w:ascii="Times New Roman" w:hAnsi="Times New Roman" w:eastAsia="宋体" w:cs="Times New Roman"/>
          <w:color w:val="auto"/>
          <w:sz w:val="24"/>
          <w:highlight w:val="none"/>
        </w:rPr>
        <w:t>》</w:t>
      </w:r>
      <w:r>
        <w:rPr>
          <w:rFonts w:hint="default" w:ascii="Times New Roman" w:hAnsi="Times New Roman" w:cs="Times New Roman"/>
          <w:color w:val="auto"/>
          <w:sz w:val="24"/>
          <w:highlight w:val="none"/>
          <w:lang w:eastAsia="zh-CN"/>
        </w:rPr>
        <w:t>，</w:t>
      </w:r>
      <w:r>
        <w:rPr>
          <w:rFonts w:ascii="Times New Roman" w:hAnsi="Times New Roman" w:eastAsia="宋体" w:cs="Times New Roman"/>
          <w:color w:val="auto"/>
          <w:sz w:val="24"/>
          <w:highlight w:val="none"/>
        </w:rPr>
        <w:t>公告编号</w:t>
      </w:r>
      <w:r>
        <w:rPr>
          <w:rFonts w:ascii="Times New Roman" w:hAnsi="Times New Roman" w:eastAsia="宋体" w:cs="Times New Roman"/>
          <w:color w:val="auto"/>
          <w:sz w:val="24"/>
          <w:highlight w:val="none"/>
          <w:lang w:eastAsia="zh-CN"/>
        </w:rPr>
        <w:t>：</w:t>
      </w:r>
      <w:r>
        <w:rPr>
          <w:rFonts w:hint="default" w:ascii="Times New Roman" w:hAnsi="Times New Roman" w:cs="Times New Roman"/>
          <w:color w:val="auto"/>
          <w:sz w:val="24"/>
          <w:highlight w:val="none"/>
          <w:lang w:val="en-US" w:eastAsia="zh-CN"/>
        </w:rPr>
        <w:t>202</w:t>
      </w:r>
      <w:r>
        <w:rPr>
          <w:rFonts w:hint="eastAsia"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107</w:t>
      </w:r>
      <w:r>
        <w:rPr>
          <w:rFonts w:ascii="Times New Roman" w:hAnsi="Times New Roman" w:eastAsia="宋体" w:cs="Times New Roman"/>
          <w:color w:val="auto"/>
          <w:sz w:val="24"/>
          <w:highlight w:val="none"/>
        </w:rPr>
        <w:t>）</w:t>
      </w:r>
      <w:r>
        <w:rPr>
          <w:rFonts w:hint="eastAsia" w:ascii="Times New Roman" w:hAnsi="Times New Roman" w:cs="Times New Roman"/>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80" w:lineRule="exact"/>
        <w:ind w:firstLine="482" w:firstLineChars="200"/>
        <w:textAlignment w:val="auto"/>
        <w:rPr>
          <w:rFonts w:ascii="Times New Roman" w:hAnsi="Times New Roman" w:cs="Times New Roman"/>
          <w:b/>
          <w:bCs/>
          <w:color w:val="000000"/>
          <w:sz w:val="24"/>
          <w:szCs w:val="24"/>
        </w:rPr>
      </w:pPr>
      <w:r>
        <w:rPr>
          <w:rFonts w:hint="default" w:ascii="Times New Roman" w:hAnsi="Times New Roman" w:cs="Times New Roman"/>
          <w:b/>
          <w:bCs/>
          <w:color w:val="000000"/>
          <w:sz w:val="24"/>
          <w:szCs w:val="24"/>
        </w:rPr>
        <w:t>二、投资标的</w:t>
      </w:r>
      <w:r>
        <w:rPr>
          <w:rFonts w:hint="default" w:ascii="Times New Roman" w:hAnsi="Times New Roman" w:cs="Times New Roman"/>
          <w:b/>
          <w:bCs/>
          <w:color w:val="000000"/>
          <w:sz w:val="24"/>
          <w:szCs w:val="24"/>
          <w:lang w:val="en-US" w:eastAsia="zh-CN"/>
        </w:rPr>
        <w:t>进展</w:t>
      </w:r>
      <w:r>
        <w:rPr>
          <w:rFonts w:hint="default" w:ascii="Times New Roman" w:hAnsi="Times New Roman" w:cs="Times New Roman"/>
          <w:b/>
          <w:bCs/>
          <w:color w:val="000000"/>
          <w:sz w:val="24"/>
          <w:szCs w:val="24"/>
        </w:rPr>
        <w:t>情况</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冷集光伏项目规划</w:t>
      </w:r>
      <w:r>
        <w:rPr>
          <w:rFonts w:hint="eastAsia" w:ascii="Times New Roman" w:hAnsi="Times New Roman" w:cs="Times New Roman"/>
          <w:color w:val="000000"/>
          <w:sz w:val="24"/>
          <w:szCs w:val="24"/>
          <w:highlight w:val="none"/>
          <w:lang w:val="en-US" w:eastAsia="zh-CN"/>
        </w:rPr>
        <w:t>装机容量</w:t>
      </w:r>
      <w:r>
        <w:rPr>
          <w:rFonts w:hint="default" w:ascii="Times New Roman" w:hAnsi="Times New Roman" w:cs="Times New Roman"/>
          <w:color w:val="000000"/>
          <w:sz w:val="24"/>
          <w:szCs w:val="24"/>
          <w:highlight w:val="none"/>
        </w:rPr>
        <w:t>23</w:t>
      </w:r>
      <w:r>
        <w:rPr>
          <w:rFonts w:hint="eastAsia" w:ascii="Times New Roman" w:hAnsi="Times New Roman" w:cs="Times New Roman"/>
          <w:color w:val="000000"/>
          <w:sz w:val="24"/>
          <w:szCs w:val="24"/>
          <w:highlight w:val="none"/>
          <w:lang w:val="en-US" w:eastAsia="zh-CN"/>
        </w:rPr>
        <w:t>万千瓦</w:t>
      </w:r>
      <w:r>
        <w:rPr>
          <w:rFonts w:hint="default" w:ascii="Times New Roman" w:hAnsi="Times New Roman" w:cs="Times New Roman"/>
          <w:color w:val="000000"/>
          <w:sz w:val="24"/>
          <w:szCs w:val="24"/>
          <w:highlight w:val="none"/>
        </w:rPr>
        <w:t>，设计布置78个发电单元，光伏场规划用地面积约5200亩。</w:t>
      </w:r>
      <w:r>
        <w:rPr>
          <w:rFonts w:hint="eastAsia" w:ascii="Times New Roman" w:hAnsi="Times New Roman" w:cs="Times New Roman"/>
          <w:color w:val="000000"/>
          <w:sz w:val="24"/>
          <w:szCs w:val="24"/>
          <w:highlight w:val="none"/>
          <w:lang w:val="en-US" w:eastAsia="zh-CN"/>
        </w:rPr>
        <w:t>截至目前</w:t>
      </w:r>
      <w:r>
        <w:rPr>
          <w:rFonts w:hint="default" w:ascii="Times New Roman" w:hAnsi="Times New Roman" w:cs="Times New Roman"/>
          <w:color w:val="000000"/>
          <w:sz w:val="24"/>
          <w:szCs w:val="24"/>
          <w:highlight w:val="none"/>
          <w:lang w:eastAsia="zh-CN"/>
        </w:rPr>
        <w:t>，冷集光伏项目</w:t>
      </w:r>
      <w:bookmarkStart w:id="0" w:name="_GoBack"/>
      <w:bookmarkEnd w:id="0"/>
      <w:r>
        <w:rPr>
          <w:rFonts w:hint="default" w:ascii="Times New Roman" w:hAnsi="Times New Roman" w:cs="Times New Roman"/>
          <w:color w:val="000000"/>
          <w:sz w:val="24"/>
          <w:szCs w:val="24"/>
          <w:highlight w:val="none"/>
        </w:rPr>
        <w:t>光伏场实际有效可用地面积4580亩</w:t>
      </w:r>
      <w:r>
        <w:rPr>
          <w:rFonts w:hint="eastAsia" w:ascii="Times New Roman" w:hAnsi="Times New Roman" w:cs="Times New Roman"/>
          <w:color w:val="000000"/>
          <w:sz w:val="24"/>
          <w:szCs w:val="24"/>
          <w:highlight w:val="none"/>
          <w:lang w:eastAsia="zh-CN"/>
        </w:rPr>
        <w:t>，</w:t>
      </w:r>
      <w:r>
        <w:rPr>
          <w:rFonts w:hint="default" w:ascii="Times New Roman" w:hAnsi="Times New Roman" w:cs="Times New Roman"/>
          <w:color w:val="000000"/>
          <w:sz w:val="24"/>
          <w:szCs w:val="24"/>
          <w:highlight w:val="none"/>
        </w:rPr>
        <w:t>共布置</w:t>
      </w:r>
      <w:r>
        <w:rPr>
          <w:rFonts w:hint="eastAsia" w:ascii="Times New Roman" w:hAnsi="Times New Roman" w:cs="Times New Roman"/>
          <w:color w:val="000000"/>
          <w:sz w:val="24"/>
          <w:szCs w:val="24"/>
          <w:highlight w:val="none"/>
          <w:lang w:val="en-US" w:eastAsia="zh-CN"/>
        </w:rPr>
        <w:t>72</w:t>
      </w:r>
      <w:r>
        <w:rPr>
          <w:rFonts w:hint="default" w:ascii="Times New Roman" w:hAnsi="Times New Roman" w:cs="Times New Roman"/>
          <w:color w:val="000000"/>
          <w:sz w:val="24"/>
          <w:szCs w:val="24"/>
          <w:highlight w:val="none"/>
        </w:rPr>
        <w:t>个发电单元</w:t>
      </w:r>
      <w:r>
        <w:rPr>
          <w:rFonts w:hint="eastAsia" w:ascii="Times New Roman" w:hAnsi="Times New Roman" w:cs="Times New Roman"/>
          <w:color w:val="000000"/>
          <w:sz w:val="24"/>
          <w:szCs w:val="24"/>
          <w:highlight w:val="none"/>
          <w:lang w:eastAsia="zh-CN"/>
        </w:rPr>
        <w:t>。</w:t>
      </w:r>
      <w:r>
        <w:rPr>
          <w:rFonts w:hint="eastAsia" w:ascii="Times New Roman" w:hAnsi="Times New Roman" w:cs="Times New Roman"/>
          <w:color w:val="000000"/>
          <w:sz w:val="24"/>
          <w:szCs w:val="24"/>
          <w:highlight w:val="none"/>
          <w:lang w:val="en-US" w:eastAsia="zh-CN"/>
        </w:rPr>
        <w:t>由于</w:t>
      </w:r>
      <w:r>
        <w:rPr>
          <w:rFonts w:hint="eastAsia" w:ascii="Times New Roman" w:hAnsi="Times New Roman" w:cs="Times New Roman"/>
          <w:color w:val="000000"/>
          <w:sz w:val="24"/>
          <w:szCs w:val="24"/>
          <w:highlight w:val="none"/>
          <w:lang w:eastAsia="zh-CN"/>
        </w:rPr>
        <w:t>光伏用地政策收紧，项目所需</w:t>
      </w:r>
      <w:r>
        <w:rPr>
          <w:rFonts w:hint="eastAsia" w:ascii="Times New Roman" w:hAnsi="Times New Roman" w:cs="Times New Roman"/>
          <w:color w:val="000000"/>
          <w:sz w:val="24"/>
          <w:szCs w:val="24"/>
          <w:highlight w:val="none"/>
          <w:lang w:val="en-US" w:eastAsia="zh-CN"/>
        </w:rPr>
        <w:t>建设</w:t>
      </w:r>
      <w:r>
        <w:rPr>
          <w:rFonts w:hint="eastAsia" w:ascii="Times New Roman" w:hAnsi="Times New Roman" w:cs="Times New Roman"/>
          <w:color w:val="000000"/>
          <w:sz w:val="24"/>
          <w:szCs w:val="24"/>
          <w:highlight w:val="none"/>
          <w:lang w:eastAsia="zh-CN"/>
        </w:rPr>
        <w:t>用地难以落实，导致</w:t>
      </w:r>
      <w:r>
        <w:rPr>
          <w:rFonts w:hint="eastAsia" w:ascii="Times New Roman" w:hAnsi="Times New Roman" w:cs="Times New Roman"/>
          <w:color w:val="000000"/>
          <w:sz w:val="24"/>
          <w:szCs w:val="24"/>
          <w:highlight w:val="none"/>
          <w:lang w:val="en-US" w:eastAsia="zh-CN"/>
        </w:rPr>
        <w:t>剩余</w:t>
      </w:r>
      <w:r>
        <w:rPr>
          <w:rFonts w:hint="eastAsia" w:ascii="Times New Roman" w:hAnsi="Times New Roman" w:cs="Times New Roman"/>
          <w:color w:val="000000"/>
          <w:sz w:val="24"/>
          <w:szCs w:val="24"/>
          <w:highlight w:val="none"/>
          <w:lang w:eastAsia="zh-CN"/>
        </w:rPr>
        <w:t>工程无法推进。</w:t>
      </w:r>
      <w:r>
        <w:rPr>
          <w:rFonts w:hint="eastAsia" w:ascii="Times New Roman" w:hAnsi="Times New Roman" w:cs="Times New Roman"/>
          <w:color w:val="000000"/>
          <w:sz w:val="24"/>
          <w:szCs w:val="24"/>
          <w:highlight w:val="none"/>
          <w:lang w:val="en-US" w:eastAsia="zh-CN"/>
        </w:rPr>
        <w:t>同时，综合考量</w:t>
      </w:r>
      <w:r>
        <w:rPr>
          <w:rFonts w:hint="eastAsia" w:ascii="Times New Roman" w:hAnsi="Times New Roman" w:eastAsia="宋体" w:cs="Times New Roman"/>
          <w:color w:val="000000"/>
          <w:position w:val="0"/>
          <w:sz w:val="24"/>
          <w:szCs w:val="24"/>
          <w:highlight w:val="none"/>
          <w:lang w:val="en-US" w:eastAsia="zh-CN"/>
        </w:rPr>
        <w:t>《国家发展改革委国家能源局关于深化新能源上网电价市场化改革促进新能源高质量发展的通知》</w:t>
      </w:r>
      <w:r>
        <w:rPr>
          <w:rFonts w:hint="eastAsia" w:ascii="Times New Roman" w:hAnsi="Times New Roman" w:cs="Times New Roman"/>
          <w:color w:val="000000"/>
          <w:position w:val="0"/>
          <w:sz w:val="24"/>
          <w:szCs w:val="24"/>
          <w:highlight w:val="none"/>
          <w:lang w:val="en-US" w:eastAsia="zh-CN"/>
        </w:rPr>
        <w:t>（</w:t>
      </w:r>
      <w:r>
        <w:rPr>
          <w:rFonts w:hint="eastAsia" w:ascii="Times New Roman" w:hAnsi="Times New Roman" w:eastAsia="宋体" w:cs="Times New Roman"/>
          <w:color w:val="000000"/>
          <w:position w:val="0"/>
          <w:sz w:val="24"/>
          <w:szCs w:val="24"/>
          <w:highlight w:val="none"/>
          <w:lang w:val="en-US" w:eastAsia="zh-CN"/>
        </w:rPr>
        <w:t>发改价格〔2025〕136号</w:t>
      </w:r>
      <w:r>
        <w:rPr>
          <w:rFonts w:hint="eastAsia" w:ascii="Times New Roman" w:hAnsi="Times New Roman" w:cs="Times New Roman"/>
          <w:color w:val="000000"/>
          <w:position w:val="0"/>
          <w:sz w:val="24"/>
          <w:szCs w:val="24"/>
          <w:highlight w:val="none"/>
          <w:lang w:val="en-US" w:eastAsia="zh-CN"/>
        </w:rPr>
        <w:t>）对项目建成后生产经营的影响，</w:t>
      </w:r>
      <w:r>
        <w:rPr>
          <w:rFonts w:hint="default" w:ascii="Times New Roman" w:hAnsi="Times New Roman" w:cs="Times New Roman"/>
          <w:color w:val="000000"/>
          <w:sz w:val="24"/>
          <w:szCs w:val="24"/>
          <w:highlight w:val="none"/>
        </w:rPr>
        <w:t>冷集光伏项目最终投产容量</w:t>
      </w:r>
      <w:r>
        <w:rPr>
          <w:rFonts w:hint="eastAsia" w:ascii="Times New Roman" w:hAnsi="Times New Roman" w:cs="Times New Roman"/>
          <w:color w:val="000000"/>
          <w:sz w:val="24"/>
          <w:szCs w:val="24"/>
          <w:highlight w:val="none"/>
          <w:lang w:val="en-US" w:eastAsia="zh-CN"/>
        </w:rPr>
        <w:t>拟定</w:t>
      </w:r>
      <w:r>
        <w:rPr>
          <w:rFonts w:hint="default" w:ascii="Times New Roman" w:hAnsi="Times New Roman" w:cs="Times New Roman"/>
          <w:color w:val="000000"/>
          <w:sz w:val="24"/>
          <w:szCs w:val="24"/>
          <w:highlight w:val="none"/>
        </w:rPr>
        <w:t>为</w:t>
      </w:r>
      <w:r>
        <w:rPr>
          <w:rFonts w:hint="eastAsia" w:ascii="Times New Roman" w:hAnsi="Times New Roman" w:cs="Times New Roman"/>
          <w:color w:val="000000"/>
          <w:sz w:val="24"/>
          <w:szCs w:val="24"/>
          <w:highlight w:val="none"/>
          <w:lang w:val="en-US" w:eastAsia="zh-CN"/>
        </w:rPr>
        <w:t>17.1</w:t>
      </w:r>
      <w:r>
        <w:rPr>
          <w:rFonts w:hint="default" w:ascii="Times New Roman" w:hAnsi="Times New Roman" w:cs="Times New Roman"/>
          <w:color w:val="000000"/>
          <w:sz w:val="24"/>
          <w:szCs w:val="24"/>
          <w:highlight w:val="none"/>
        </w:rPr>
        <w:t>万千瓦。</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default" w:ascii="Times New Roman" w:hAnsi="Times New Roman" w:eastAsia="宋体" w:cs="Times New Roman"/>
          <w:color w:val="000000"/>
          <w:sz w:val="24"/>
          <w:szCs w:val="24"/>
          <w:highlight w:val="none"/>
          <w:lang w:eastAsia="zh-CN"/>
        </w:rPr>
      </w:pPr>
      <w:r>
        <w:rPr>
          <w:rFonts w:hint="default" w:ascii="Times New Roman" w:hAnsi="Times New Roman" w:cs="Times New Roman"/>
          <w:color w:val="000000"/>
          <w:sz w:val="24"/>
          <w:szCs w:val="24"/>
        </w:rPr>
        <w:t>202</w:t>
      </w:r>
      <w:r>
        <w:rPr>
          <w:rFonts w:hint="eastAsia" w:ascii="Times New Roman" w:hAnsi="Times New Roman" w:cs="Times New Roman"/>
          <w:color w:val="000000"/>
          <w:sz w:val="24"/>
          <w:szCs w:val="24"/>
          <w:lang w:val="en-US" w:eastAsia="zh-CN"/>
        </w:rPr>
        <w:t>5</w:t>
      </w:r>
      <w:r>
        <w:rPr>
          <w:rFonts w:hint="default" w:ascii="Times New Roman" w:hAnsi="Times New Roman" w:cs="Times New Roman"/>
          <w:color w:val="000000"/>
          <w:sz w:val="24"/>
          <w:szCs w:val="24"/>
        </w:rPr>
        <w:t>年</w:t>
      </w:r>
      <w:r>
        <w:rPr>
          <w:rFonts w:hint="eastAsia" w:ascii="Times New Roman" w:hAnsi="Times New Roman" w:cs="Times New Roman"/>
          <w:color w:val="000000"/>
          <w:sz w:val="24"/>
          <w:szCs w:val="24"/>
          <w:lang w:val="en-US" w:eastAsia="zh-CN"/>
        </w:rPr>
        <w:t>8</w:t>
      </w:r>
      <w:r>
        <w:rPr>
          <w:rFonts w:hint="default" w:ascii="Times New Roman" w:hAnsi="Times New Roman" w:cs="Times New Roman"/>
          <w:color w:val="000000"/>
          <w:sz w:val="24"/>
          <w:szCs w:val="24"/>
        </w:rPr>
        <w:t>月</w:t>
      </w:r>
      <w:r>
        <w:rPr>
          <w:rFonts w:hint="default" w:ascii="Times New Roman" w:hAnsi="Times New Roman" w:cs="Times New Roman"/>
          <w:color w:val="000000"/>
          <w:sz w:val="24"/>
          <w:szCs w:val="24"/>
          <w:lang w:val="en-US" w:eastAsia="zh-CN"/>
        </w:rPr>
        <w:t>2</w:t>
      </w:r>
      <w:r>
        <w:rPr>
          <w:rFonts w:hint="eastAsia" w:ascii="Times New Roman" w:hAnsi="Times New Roman" w:cs="Times New Roman"/>
          <w:color w:val="000000"/>
          <w:sz w:val="24"/>
          <w:szCs w:val="24"/>
          <w:lang w:val="en-US" w:eastAsia="zh-CN"/>
        </w:rPr>
        <w:t>1</w:t>
      </w:r>
      <w:r>
        <w:rPr>
          <w:rFonts w:hint="default" w:ascii="Times New Roman" w:hAnsi="Times New Roman" w:cs="Times New Roman"/>
          <w:color w:val="000000"/>
          <w:sz w:val="24"/>
          <w:szCs w:val="24"/>
        </w:rPr>
        <w:t>日</w:t>
      </w:r>
      <w:r>
        <w:rPr>
          <w:rFonts w:hint="default" w:ascii="Times New Roman" w:hAnsi="Times New Roman" w:cs="Times New Roman"/>
          <w:color w:val="000000"/>
          <w:sz w:val="24"/>
          <w:szCs w:val="24"/>
          <w:lang w:eastAsia="zh-CN"/>
        </w:rPr>
        <w:t>，</w:t>
      </w:r>
      <w:r>
        <w:rPr>
          <w:rFonts w:hint="default" w:ascii="Times New Roman" w:hAnsi="Times New Roman" w:cs="Times New Roman"/>
          <w:color w:val="000000"/>
          <w:sz w:val="24"/>
          <w:szCs w:val="24"/>
          <w:lang w:val="en-US" w:eastAsia="zh-CN"/>
        </w:rPr>
        <w:t>公司</w:t>
      </w:r>
      <w:r>
        <w:rPr>
          <w:rFonts w:hint="default" w:ascii="Times New Roman" w:hAnsi="Times New Roman" w:cs="Times New Roman"/>
          <w:color w:val="000000"/>
          <w:sz w:val="24"/>
          <w:szCs w:val="24"/>
        </w:rPr>
        <w:t>召开第</w:t>
      </w:r>
      <w:r>
        <w:rPr>
          <w:rFonts w:hint="default" w:ascii="Times New Roman" w:hAnsi="Times New Roman" w:cs="Times New Roman"/>
          <w:color w:val="000000"/>
          <w:sz w:val="24"/>
          <w:szCs w:val="24"/>
          <w:lang w:val="en-US" w:eastAsia="zh-CN"/>
        </w:rPr>
        <w:t>十</w:t>
      </w:r>
      <w:r>
        <w:rPr>
          <w:rFonts w:hint="default" w:ascii="Times New Roman" w:hAnsi="Times New Roman" w:cs="Times New Roman"/>
          <w:color w:val="000000"/>
          <w:sz w:val="24"/>
          <w:szCs w:val="24"/>
        </w:rPr>
        <w:t>届董事会第</w:t>
      </w:r>
      <w:r>
        <w:rPr>
          <w:rFonts w:hint="eastAsia" w:ascii="Times New Roman" w:hAnsi="Times New Roman" w:cs="Times New Roman"/>
          <w:color w:val="000000"/>
          <w:sz w:val="24"/>
          <w:szCs w:val="24"/>
          <w:lang w:val="en-US" w:eastAsia="zh-CN"/>
        </w:rPr>
        <w:t>三十五</w:t>
      </w:r>
      <w:r>
        <w:rPr>
          <w:rFonts w:hint="default" w:ascii="Times New Roman" w:hAnsi="Times New Roman" w:cs="Times New Roman"/>
          <w:color w:val="000000"/>
          <w:sz w:val="24"/>
          <w:szCs w:val="24"/>
        </w:rPr>
        <w:t>次会议</w:t>
      </w:r>
      <w:r>
        <w:rPr>
          <w:rFonts w:hint="default" w:ascii="Times New Roman" w:hAnsi="Times New Roman" w:cs="Times New Roman"/>
          <w:color w:val="000000"/>
          <w:sz w:val="24"/>
          <w:szCs w:val="24"/>
          <w:lang w:val="en-US" w:eastAsia="zh-CN"/>
        </w:rPr>
        <w:t>审议</w:t>
      </w:r>
      <w:r>
        <w:rPr>
          <w:rFonts w:hint="default" w:ascii="Times New Roman" w:hAnsi="Times New Roman" w:cs="Times New Roman"/>
          <w:color w:val="000000"/>
          <w:sz w:val="24"/>
          <w:szCs w:val="24"/>
        </w:rPr>
        <w:t>通过</w:t>
      </w:r>
      <w:r>
        <w:rPr>
          <w:rFonts w:hint="default" w:ascii="Times New Roman" w:hAnsi="Times New Roman" w:cs="Times New Roman"/>
          <w:color w:val="000000"/>
          <w:sz w:val="24"/>
          <w:szCs w:val="24"/>
          <w:lang w:val="en-US" w:eastAsia="zh-CN"/>
        </w:rPr>
        <w:t>了</w:t>
      </w:r>
      <w:r>
        <w:rPr>
          <w:rFonts w:hint="default" w:ascii="Times New Roman" w:hAnsi="Times New Roman" w:cs="Times New Roman"/>
          <w:color w:val="000000"/>
          <w:sz w:val="24"/>
          <w:szCs w:val="24"/>
        </w:rPr>
        <w:t>《关于国能长源谷城县冷集镇230MW农光互补光伏发电项目装机容量调整的议案》，</w:t>
      </w:r>
      <w:r>
        <w:rPr>
          <w:rFonts w:hint="default" w:ascii="Times New Roman" w:hAnsi="Times New Roman" w:cs="Times New Roman"/>
          <w:color w:val="000000"/>
          <w:sz w:val="24"/>
          <w:szCs w:val="24"/>
          <w:lang w:val="en-US" w:eastAsia="zh-CN"/>
        </w:rPr>
        <w:t>同意调整</w:t>
      </w:r>
      <w:r>
        <w:rPr>
          <w:rFonts w:hint="default" w:ascii="Times New Roman" w:hAnsi="Times New Roman" w:cs="Times New Roman"/>
          <w:color w:val="000000"/>
          <w:sz w:val="24"/>
          <w:szCs w:val="24"/>
          <w:highlight w:val="none"/>
        </w:rPr>
        <w:t>冷集光伏项目</w:t>
      </w:r>
      <w:r>
        <w:rPr>
          <w:rFonts w:hint="default" w:ascii="Times New Roman" w:hAnsi="Times New Roman" w:cs="Times New Roman"/>
          <w:color w:val="000000"/>
          <w:sz w:val="24"/>
          <w:szCs w:val="24"/>
          <w:lang w:val="en-US" w:eastAsia="zh-CN"/>
        </w:rPr>
        <w:t>的最终投产容量及总投资金额，项目规划装机容量由</w:t>
      </w:r>
      <w:r>
        <w:rPr>
          <w:rFonts w:hint="eastAsia" w:ascii="Times New Roman" w:hAnsi="Times New Roman" w:cs="Times New Roman"/>
          <w:color w:val="000000"/>
          <w:sz w:val="24"/>
          <w:szCs w:val="24"/>
          <w:lang w:val="en-US" w:eastAsia="zh-CN"/>
        </w:rPr>
        <w:t>23</w:t>
      </w:r>
      <w:r>
        <w:rPr>
          <w:rFonts w:hint="default" w:ascii="Times New Roman" w:hAnsi="Times New Roman" w:cs="Times New Roman"/>
          <w:color w:val="000000"/>
          <w:sz w:val="24"/>
          <w:szCs w:val="24"/>
          <w:lang w:val="en-US" w:eastAsia="zh-CN"/>
        </w:rPr>
        <w:t>万千瓦调整为</w:t>
      </w:r>
      <w:r>
        <w:rPr>
          <w:rFonts w:hint="eastAsia" w:ascii="Times New Roman" w:hAnsi="Times New Roman" w:cs="Times New Roman"/>
          <w:color w:val="000000"/>
          <w:sz w:val="24"/>
          <w:szCs w:val="24"/>
          <w:lang w:val="en-US" w:eastAsia="zh-CN"/>
        </w:rPr>
        <w:t>17.1</w:t>
      </w:r>
      <w:r>
        <w:rPr>
          <w:rFonts w:hint="default" w:ascii="Times New Roman" w:hAnsi="Times New Roman" w:cs="Times New Roman"/>
          <w:color w:val="000000"/>
          <w:sz w:val="24"/>
          <w:szCs w:val="24"/>
          <w:lang w:val="en-US" w:eastAsia="zh-CN"/>
        </w:rPr>
        <w:t>万千瓦，项目总投资金额由</w:t>
      </w:r>
      <w:r>
        <w:rPr>
          <w:rFonts w:hint="eastAsia" w:ascii="Times New Roman" w:hAnsi="Times New Roman" w:cs="Times New Roman"/>
          <w:color w:val="000000"/>
          <w:sz w:val="24"/>
          <w:szCs w:val="24"/>
          <w:highlight w:val="none"/>
          <w:lang w:eastAsia="zh-CN"/>
        </w:rPr>
        <w:t>110,243</w:t>
      </w:r>
      <w:r>
        <w:rPr>
          <w:rFonts w:hint="default" w:ascii="Times New Roman" w:hAnsi="Times New Roman" w:cs="Times New Roman"/>
          <w:color w:val="000000"/>
          <w:sz w:val="24"/>
          <w:szCs w:val="24"/>
          <w:lang w:val="en-US" w:eastAsia="zh-CN"/>
        </w:rPr>
        <w:t>万元调整为74,520万元</w:t>
      </w:r>
      <w:r>
        <w:rPr>
          <w:rFonts w:hint="default" w:ascii="Times New Roman" w:hAnsi="Times New Roman" w:cs="Times New Roman"/>
          <w:color w:val="00000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80" w:lineRule="exact"/>
        <w:ind w:firstLine="482" w:firstLineChars="200"/>
        <w:textAlignment w:val="auto"/>
        <w:rPr>
          <w:rFonts w:hint="default" w:ascii="Times New Roman" w:hAnsi="Times New Roman" w:eastAsia="宋体" w:cs="Times New Roman"/>
          <w:b/>
          <w:bCs/>
          <w:color w:val="000000"/>
          <w:sz w:val="24"/>
          <w:szCs w:val="24"/>
          <w:lang w:eastAsia="zh-CN"/>
        </w:rPr>
      </w:pPr>
      <w:r>
        <w:rPr>
          <w:rFonts w:hint="eastAsia" w:ascii="Times New Roman" w:hAnsi="Times New Roman" w:cs="Times New Roman"/>
          <w:b/>
          <w:bCs/>
          <w:color w:val="000000"/>
          <w:sz w:val="24"/>
          <w:szCs w:val="24"/>
          <w:lang w:val="en-US" w:eastAsia="zh-CN"/>
        </w:rPr>
        <w:t>三</w:t>
      </w:r>
      <w:r>
        <w:rPr>
          <w:rFonts w:hint="default" w:ascii="Times New Roman" w:hAnsi="Times New Roman" w:cs="Times New Roman"/>
          <w:b/>
          <w:bCs/>
          <w:color w:val="000000"/>
          <w:sz w:val="24"/>
          <w:szCs w:val="24"/>
          <w:lang w:eastAsia="zh-CN"/>
        </w:rPr>
        <w:t>、备查文件</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eastAsia" w:ascii="Times New Roman" w:hAnsi="Times New Roman" w:eastAsia="宋体" w:cs="Times New Roman"/>
          <w:color w:val="000000"/>
          <w:sz w:val="24"/>
          <w:szCs w:val="24"/>
          <w:lang w:eastAsia="zh-CN"/>
        </w:rPr>
      </w:pPr>
      <w:r>
        <w:rPr>
          <w:rFonts w:hint="default" w:ascii="Times New Roman" w:hAnsi="Times New Roman" w:cs="Times New Roman"/>
          <w:color w:val="000000"/>
          <w:sz w:val="24"/>
          <w:szCs w:val="24"/>
        </w:rPr>
        <w:t>公司第</w:t>
      </w:r>
      <w:r>
        <w:rPr>
          <w:rFonts w:hint="default" w:ascii="Times New Roman" w:hAnsi="Times New Roman" w:cs="Times New Roman"/>
          <w:color w:val="000000"/>
          <w:sz w:val="24"/>
          <w:szCs w:val="24"/>
          <w:lang w:val="en-US" w:eastAsia="zh-CN"/>
        </w:rPr>
        <w:t>十</w:t>
      </w:r>
      <w:r>
        <w:rPr>
          <w:rFonts w:hint="default" w:ascii="Times New Roman" w:hAnsi="Times New Roman" w:cs="Times New Roman"/>
          <w:color w:val="000000"/>
          <w:sz w:val="24"/>
          <w:szCs w:val="24"/>
        </w:rPr>
        <w:t>届董事会第</w:t>
      </w:r>
      <w:r>
        <w:rPr>
          <w:rFonts w:hint="eastAsia" w:ascii="Times New Roman" w:hAnsi="Times New Roman" w:cs="Times New Roman"/>
          <w:color w:val="000000"/>
          <w:sz w:val="24"/>
          <w:szCs w:val="24"/>
          <w:lang w:val="en-US" w:eastAsia="zh-CN"/>
        </w:rPr>
        <w:t>三十五</w:t>
      </w:r>
      <w:r>
        <w:rPr>
          <w:rFonts w:hint="default" w:ascii="Times New Roman" w:hAnsi="Times New Roman" w:cs="Times New Roman"/>
          <w:color w:val="000000"/>
          <w:sz w:val="24"/>
          <w:szCs w:val="24"/>
        </w:rPr>
        <w:t>次会议决议</w:t>
      </w:r>
      <w:r>
        <w:rPr>
          <w:rFonts w:hint="eastAsia" w:ascii="Times New Roman" w:hAnsi="Times New Roman" w:cs="Times New Roman"/>
          <w:color w:val="00000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Times New Roman" w:hAnsi="Times New Roman" w:cs="Times New Roman"/>
          <w:color w:val="000000"/>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default" w:ascii="Times New Roman" w:hAnsi="Times New Roman" w:cs="Times New Roman"/>
          <w:color w:val="000000"/>
          <w:sz w:val="24"/>
          <w:szCs w:val="24"/>
          <w:highlight w:val="none"/>
          <w:lang w:eastAsia="zh-CN"/>
        </w:rPr>
      </w:pPr>
      <w:r>
        <w:rPr>
          <w:rFonts w:ascii="Times New Roman" w:hAnsi="Times New Roman" w:cs="Times New Roman"/>
          <w:color w:val="000000"/>
          <w:sz w:val="24"/>
          <w:szCs w:val="24"/>
          <w:highlight w:val="none"/>
        </w:rPr>
        <w:t>特此公告。</w:t>
      </w:r>
    </w:p>
    <w:p>
      <w:pPr>
        <w:keepNext w:val="0"/>
        <w:keepLines w:val="0"/>
        <w:pageBreakBefore w:val="0"/>
        <w:widowControl w:val="0"/>
        <w:kinsoku/>
        <w:wordWrap/>
        <w:overflowPunct/>
        <w:topLinePunct w:val="0"/>
        <w:autoSpaceDE/>
        <w:autoSpaceDN/>
        <w:bidi w:val="0"/>
        <w:adjustRightInd w:val="0"/>
        <w:snapToGrid w:val="0"/>
        <w:spacing w:line="380" w:lineRule="exact"/>
        <w:jc w:val="right"/>
        <w:textAlignment w:val="auto"/>
        <w:rPr>
          <w:rFonts w:hint="default" w:ascii="Times New Roman" w:hAnsi="Times New Roman" w:eastAsia="宋体" w:cs="Times New Roman"/>
          <w:color w:val="000000"/>
          <w:sz w:val="24"/>
          <w:szCs w:val="24"/>
          <w:highlight w:val="none"/>
          <w:lang w:eastAsia="zh-CN"/>
        </w:rPr>
      </w:pPr>
      <w:r>
        <w:rPr>
          <w:rFonts w:hint="default" w:ascii="Times New Roman" w:hAnsi="Times New Roman" w:cs="Times New Roman"/>
          <w:color w:val="000000"/>
          <w:sz w:val="24"/>
          <w:szCs w:val="24"/>
          <w:highlight w:val="none"/>
          <w:lang w:eastAsia="zh-CN"/>
        </w:rPr>
        <w:t>国家能源集团</w:t>
      </w:r>
      <w:r>
        <w:rPr>
          <w:rFonts w:ascii="Times New Roman" w:hAnsi="Times New Roman" w:cs="Times New Roman"/>
          <w:color w:val="000000"/>
          <w:sz w:val="24"/>
          <w:szCs w:val="24"/>
          <w:highlight w:val="none"/>
        </w:rPr>
        <w:t>长源电力股份有限公司</w:t>
      </w:r>
      <w:r>
        <w:rPr>
          <w:rFonts w:hint="default" w:ascii="Times New Roman" w:hAnsi="Times New Roman" w:cs="Times New Roman"/>
          <w:color w:val="000000"/>
          <w:sz w:val="24"/>
          <w:szCs w:val="24"/>
          <w:highlight w:val="none"/>
          <w:lang w:eastAsia="zh-CN"/>
        </w:rPr>
        <w:t>董事会</w:t>
      </w:r>
    </w:p>
    <w:p>
      <w:pPr>
        <w:keepNext w:val="0"/>
        <w:keepLines w:val="0"/>
        <w:pageBreakBefore w:val="0"/>
        <w:widowControl w:val="0"/>
        <w:kinsoku/>
        <w:wordWrap/>
        <w:overflowPunct/>
        <w:topLinePunct w:val="0"/>
        <w:autoSpaceDE/>
        <w:autoSpaceDN/>
        <w:bidi w:val="0"/>
        <w:spacing w:line="380" w:lineRule="exact"/>
        <w:ind w:right="720" w:firstLine="420"/>
        <w:jc w:val="center"/>
        <w:textAlignment w:val="auto"/>
        <w:rPr>
          <w:rFonts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lang w:val="en-US" w:eastAsia="zh-CN"/>
        </w:rPr>
        <w:t xml:space="preserve">                                 </w:t>
      </w:r>
      <w:r>
        <w:rPr>
          <w:rFonts w:ascii="Times New Roman" w:hAnsi="Times New Roman" w:cs="Times New Roman"/>
          <w:color w:val="000000"/>
          <w:sz w:val="24"/>
          <w:szCs w:val="24"/>
          <w:highlight w:val="none"/>
        </w:rPr>
        <w:t>20</w:t>
      </w:r>
      <w:r>
        <w:rPr>
          <w:rFonts w:hint="default" w:ascii="Times New Roman" w:hAnsi="Times New Roman" w:cs="Times New Roman"/>
          <w:color w:val="000000"/>
          <w:sz w:val="24"/>
          <w:szCs w:val="24"/>
          <w:highlight w:val="none"/>
        </w:rPr>
        <w:t>2</w:t>
      </w:r>
      <w:r>
        <w:rPr>
          <w:rFonts w:hint="eastAsia" w:ascii="Times New Roman" w:hAnsi="Times New Roman" w:cs="Times New Roman"/>
          <w:color w:val="000000"/>
          <w:sz w:val="24"/>
          <w:szCs w:val="24"/>
          <w:highlight w:val="none"/>
          <w:lang w:val="en-US" w:eastAsia="zh-CN"/>
        </w:rPr>
        <w:t>5</w:t>
      </w:r>
      <w:r>
        <w:rPr>
          <w:rFonts w:ascii="Times New Roman" w:hAnsi="Times New Roman" w:cs="Times New Roman"/>
          <w:color w:val="000000"/>
          <w:sz w:val="24"/>
          <w:szCs w:val="24"/>
          <w:highlight w:val="none"/>
        </w:rPr>
        <w:t>年</w:t>
      </w:r>
      <w:r>
        <w:rPr>
          <w:rFonts w:hint="eastAsia" w:ascii="Times New Roman" w:hAnsi="Times New Roman" w:cs="Times New Roman"/>
          <w:color w:val="000000"/>
          <w:sz w:val="24"/>
          <w:szCs w:val="24"/>
          <w:highlight w:val="none"/>
          <w:lang w:val="en-US" w:eastAsia="zh-CN"/>
        </w:rPr>
        <w:t>8</w:t>
      </w:r>
      <w:r>
        <w:rPr>
          <w:rFonts w:ascii="Times New Roman" w:hAnsi="Times New Roman" w:cs="Times New Roman"/>
          <w:color w:val="000000"/>
          <w:sz w:val="24"/>
          <w:szCs w:val="24"/>
          <w:highlight w:val="none"/>
        </w:rPr>
        <w:t>月</w:t>
      </w:r>
      <w:r>
        <w:rPr>
          <w:rFonts w:hint="eastAsia" w:ascii="Times New Roman" w:hAnsi="Times New Roman" w:cs="Times New Roman"/>
          <w:color w:val="000000"/>
          <w:sz w:val="24"/>
          <w:szCs w:val="24"/>
          <w:highlight w:val="none"/>
          <w:lang w:val="en-US" w:eastAsia="zh-CN"/>
        </w:rPr>
        <w:t>23</w:t>
      </w:r>
      <w:r>
        <w:rPr>
          <w:rFonts w:hint="default" w:ascii="Times New Roman" w:hAnsi="Times New Roman" w:eastAsia="宋体" w:cs="Times New Roman"/>
          <w:color w:val="000000"/>
          <w:sz w:val="24"/>
          <w:szCs w:val="24"/>
          <w:highlight w:val="none"/>
        </w:rPr>
        <w:t>日</w:t>
      </w:r>
    </w:p>
    <w:sectPr>
      <w:footerReference r:id="rId3" w:type="default"/>
      <w:pgSz w:w="11906" w:h="16838"/>
      <w:pgMar w:top="1418" w:right="1758" w:bottom="1134" w:left="175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eastAsia="zh-CN"/>
      </w:rPr>
      <w:t>2</w:t>
    </w:r>
    <w:r>
      <w:rPr>
        <w:lang w:val="zh-CN" w:eastAsia="zh-CN"/>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DE6"/>
    <w:rsid w:val="000638B9"/>
    <w:rsid w:val="00070121"/>
    <w:rsid w:val="00080E0E"/>
    <w:rsid w:val="000D652E"/>
    <w:rsid w:val="000E562D"/>
    <w:rsid w:val="00104A03"/>
    <w:rsid w:val="001507D6"/>
    <w:rsid w:val="001A7D31"/>
    <w:rsid w:val="001B1092"/>
    <w:rsid w:val="001C0E7D"/>
    <w:rsid w:val="001D70E1"/>
    <w:rsid w:val="001E2D03"/>
    <w:rsid w:val="001E4B61"/>
    <w:rsid w:val="001F5995"/>
    <w:rsid w:val="00207852"/>
    <w:rsid w:val="0021315E"/>
    <w:rsid w:val="00226E5F"/>
    <w:rsid w:val="00232484"/>
    <w:rsid w:val="002427EE"/>
    <w:rsid w:val="00263275"/>
    <w:rsid w:val="002B09FD"/>
    <w:rsid w:val="002F42EC"/>
    <w:rsid w:val="003150B0"/>
    <w:rsid w:val="003626FF"/>
    <w:rsid w:val="003C028B"/>
    <w:rsid w:val="003C7946"/>
    <w:rsid w:val="003F3F67"/>
    <w:rsid w:val="003F4775"/>
    <w:rsid w:val="00405FD8"/>
    <w:rsid w:val="00416568"/>
    <w:rsid w:val="0042077B"/>
    <w:rsid w:val="004513EA"/>
    <w:rsid w:val="00461A40"/>
    <w:rsid w:val="00464579"/>
    <w:rsid w:val="00477128"/>
    <w:rsid w:val="00491C4F"/>
    <w:rsid w:val="004921C7"/>
    <w:rsid w:val="004B0239"/>
    <w:rsid w:val="004E056D"/>
    <w:rsid w:val="004F7192"/>
    <w:rsid w:val="005373A6"/>
    <w:rsid w:val="00564082"/>
    <w:rsid w:val="00583AE5"/>
    <w:rsid w:val="005A19C6"/>
    <w:rsid w:val="005E19D1"/>
    <w:rsid w:val="005F04DF"/>
    <w:rsid w:val="0067569E"/>
    <w:rsid w:val="00685CE3"/>
    <w:rsid w:val="00695531"/>
    <w:rsid w:val="0071198D"/>
    <w:rsid w:val="0071219B"/>
    <w:rsid w:val="00712BF9"/>
    <w:rsid w:val="00731150"/>
    <w:rsid w:val="0073177B"/>
    <w:rsid w:val="00760F8D"/>
    <w:rsid w:val="007D472E"/>
    <w:rsid w:val="007E2C6B"/>
    <w:rsid w:val="007F37D2"/>
    <w:rsid w:val="0082050F"/>
    <w:rsid w:val="008A50E9"/>
    <w:rsid w:val="008C3C27"/>
    <w:rsid w:val="008F734D"/>
    <w:rsid w:val="00942005"/>
    <w:rsid w:val="0096462D"/>
    <w:rsid w:val="009714BB"/>
    <w:rsid w:val="00975122"/>
    <w:rsid w:val="009B04D9"/>
    <w:rsid w:val="009C1AEA"/>
    <w:rsid w:val="009D68BD"/>
    <w:rsid w:val="009E08C2"/>
    <w:rsid w:val="009E5D9E"/>
    <w:rsid w:val="00A11CB0"/>
    <w:rsid w:val="00A1392E"/>
    <w:rsid w:val="00A178C1"/>
    <w:rsid w:val="00A43B2A"/>
    <w:rsid w:val="00A47E0C"/>
    <w:rsid w:val="00A62F7E"/>
    <w:rsid w:val="00A852E7"/>
    <w:rsid w:val="00B17FE2"/>
    <w:rsid w:val="00B32DF8"/>
    <w:rsid w:val="00B3797B"/>
    <w:rsid w:val="00B76D0B"/>
    <w:rsid w:val="00B92461"/>
    <w:rsid w:val="00BD0F56"/>
    <w:rsid w:val="00BD2EBA"/>
    <w:rsid w:val="00BE2F95"/>
    <w:rsid w:val="00C0085A"/>
    <w:rsid w:val="00C10BC6"/>
    <w:rsid w:val="00C155E7"/>
    <w:rsid w:val="00C17DE6"/>
    <w:rsid w:val="00C56370"/>
    <w:rsid w:val="00CE1616"/>
    <w:rsid w:val="00CF3990"/>
    <w:rsid w:val="00D04153"/>
    <w:rsid w:val="00D26212"/>
    <w:rsid w:val="00D464F6"/>
    <w:rsid w:val="00D85B23"/>
    <w:rsid w:val="00DA0F9B"/>
    <w:rsid w:val="00DC72C1"/>
    <w:rsid w:val="00DF0A09"/>
    <w:rsid w:val="00DF5A2F"/>
    <w:rsid w:val="00E0610A"/>
    <w:rsid w:val="00E64EC6"/>
    <w:rsid w:val="00E66A4E"/>
    <w:rsid w:val="00E92EF1"/>
    <w:rsid w:val="00EA0B31"/>
    <w:rsid w:val="00EC1A6E"/>
    <w:rsid w:val="00F1239D"/>
    <w:rsid w:val="00F43840"/>
    <w:rsid w:val="00F51D77"/>
    <w:rsid w:val="00F91589"/>
    <w:rsid w:val="00FA5321"/>
    <w:rsid w:val="00FB4261"/>
    <w:rsid w:val="00FD1728"/>
    <w:rsid w:val="03AB3D95"/>
    <w:rsid w:val="04735525"/>
    <w:rsid w:val="04FC3A2E"/>
    <w:rsid w:val="05735C60"/>
    <w:rsid w:val="05AC150C"/>
    <w:rsid w:val="05B66AC1"/>
    <w:rsid w:val="05E60919"/>
    <w:rsid w:val="05FE2829"/>
    <w:rsid w:val="061E6138"/>
    <w:rsid w:val="067B4483"/>
    <w:rsid w:val="06AD5AC7"/>
    <w:rsid w:val="081579A6"/>
    <w:rsid w:val="08EE7136"/>
    <w:rsid w:val="092F25BE"/>
    <w:rsid w:val="09420D50"/>
    <w:rsid w:val="094A0E4F"/>
    <w:rsid w:val="09ED2C8E"/>
    <w:rsid w:val="0A793C04"/>
    <w:rsid w:val="0AAA3601"/>
    <w:rsid w:val="0B9B6080"/>
    <w:rsid w:val="0BAB0B56"/>
    <w:rsid w:val="0CAE7C83"/>
    <w:rsid w:val="0DBA73DB"/>
    <w:rsid w:val="0E125917"/>
    <w:rsid w:val="0F003243"/>
    <w:rsid w:val="0F1757F6"/>
    <w:rsid w:val="0F316BAC"/>
    <w:rsid w:val="0F3E0F6B"/>
    <w:rsid w:val="10AB542F"/>
    <w:rsid w:val="11280C49"/>
    <w:rsid w:val="116879E7"/>
    <w:rsid w:val="123B4F4C"/>
    <w:rsid w:val="12A32CE2"/>
    <w:rsid w:val="13670FE4"/>
    <w:rsid w:val="138748F3"/>
    <w:rsid w:val="13D11867"/>
    <w:rsid w:val="13D82396"/>
    <w:rsid w:val="13E01F10"/>
    <w:rsid w:val="13FC1ECE"/>
    <w:rsid w:val="152A751B"/>
    <w:rsid w:val="155D0EE3"/>
    <w:rsid w:val="15667D43"/>
    <w:rsid w:val="15AA26F3"/>
    <w:rsid w:val="16D057B4"/>
    <w:rsid w:val="17027126"/>
    <w:rsid w:val="186772D0"/>
    <w:rsid w:val="18AF5431"/>
    <w:rsid w:val="19073740"/>
    <w:rsid w:val="1A7B4788"/>
    <w:rsid w:val="1AE94226"/>
    <w:rsid w:val="1B2D6D3D"/>
    <w:rsid w:val="1B3446DD"/>
    <w:rsid w:val="1B707488"/>
    <w:rsid w:val="1C56369B"/>
    <w:rsid w:val="1C5819B6"/>
    <w:rsid w:val="1CBB4AAF"/>
    <w:rsid w:val="1D781AE1"/>
    <w:rsid w:val="1D9A2FE6"/>
    <w:rsid w:val="1DFB7B95"/>
    <w:rsid w:val="1E9331AD"/>
    <w:rsid w:val="20877711"/>
    <w:rsid w:val="20D24836"/>
    <w:rsid w:val="21D16D5A"/>
    <w:rsid w:val="225E59E5"/>
    <w:rsid w:val="2360402D"/>
    <w:rsid w:val="23972451"/>
    <w:rsid w:val="23FC586F"/>
    <w:rsid w:val="248933B5"/>
    <w:rsid w:val="25B950E7"/>
    <w:rsid w:val="2751009B"/>
    <w:rsid w:val="27607F20"/>
    <w:rsid w:val="2806149F"/>
    <w:rsid w:val="281E6B77"/>
    <w:rsid w:val="29D11CD7"/>
    <w:rsid w:val="2A183D1F"/>
    <w:rsid w:val="2A8D51B4"/>
    <w:rsid w:val="2B205A6B"/>
    <w:rsid w:val="2B8B76FF"/>
    <w:rsid w:val="2BE7118A"/>
    <w:rsid w:val="2D916071"/>
    <w:rsid w:val="2D9C418C"/>
    <w:rsid w:val="2DBC5351"/>
    <w:rsid w:val="2E16277E"/>
    <w:rsid w:val="2E7C5E69"/>
    <w:rsid w:val="2F33652D"/>
    <w:rsid w:val="2F3C7815"/>
    <w:rsid w:val="30350214"/>
    <w:rsid w:val="304D5F6E"/>
    <w:rsid w:val="31871F02"/>
    <w:rsid w:val="319B40D6"/>
    <w:rsid w:val="31D00D83"/>
    <w:rsid w:val="31F763E5"/>
    <w:rsid w:val="32BB1B17"/>
    <w:rsid w:val="330717CA"/>
    <w:rsid w:val="347B48C9"/>
    <w:rsid w:val="348C679B"/>
    <w:rsid w:val="34986E46"/>
    <w:rsid w:val="3641338E"/>
    <w:rsid w:val="366F1DAF"/>
    <w:rsid w:val="36E17C5B"/>
    <w:rsid w:val="36FE3FEB"/>
    <w:rsid w:val="37075DA4"/>
    <w:rsid w:val="371B0BC0"/>
    <w:rsid w:val="38951442"/>
    <w:rsid w:val="3A1D50F3"/>
    <w:rsid w:val="3A6B320C"/>
    <w:rsid w:val="3A703BA6"/>
    <w:rsid w:val="3A8D3214"/>
    <w:rsid w:val="3B740DF4"/>
    <w:rsid w:val="3B9E0A96"/>
    <w:rsid w:val="3BBA7468"/>
    <w:rsid w:val="3BCE2B76"/>
    <w:rsid w:val="3BF800C6"/>
    <w:rsid w:val="3D910E23"/>
    <w:rsid w:val="3D920183"/>
    <w:rsid w:val="3DB30DA7"/>
    <w:rsid w:val="3DDE4FE2"/>
    <w:rsid w:val="3DEB0B3D"/>
    <w:rsid w:val="3EB76844"/>
    <w:rsid w:val="3EFA2892"/>
    <w:rsid w:val="3F3B475E"/>
    <w:rsid w:val="3F8C6656"/>
    <w:rsid w:val="3F9126B4"/>
    <w:rsid w:val="3FB62E2C"/>
    <w:rsid w:val="3FD577B2"/>
    <w:rsid w:val="400741BD"/>
    <w:rsid w:val="40CC3C0F"/>
    <w:rsid w:val="41831C76"/>
    <w:rsid w:val="41D81D97"/>
    <w:rsid w:val="42C31C98"/>
    <w:rsid w:val="43016F7F"/>
    <w:rsid w:val="43F61BD5"/>
    <w:rsid w:val="443D2E7C"/>
    <w:rsid w:val="444267BA"/>
    <w:rsid w:val="44640502"/>
    <w:rsid w:val="45840AAE"/>
    <w:rsid w:val="45AE0982"/>
    <w:rsid w:val="45F20694"/>
    <w:rsid w:val="46164B1D"/>
    <w:rsid w:val="462C5E63"/>
    <w:rsid w:val="46617A66"/>
    <w:rsid w:val="46E94FF9"/>
    <w:rsid w:val="47A67171"/>
    <w:rsid w:val="481A4BB5"/>
    <w:rsid w:val="481B1AC6"/>
    <w:rsid w:val="48B6540B"/>
    <w:rsid w:val="48F71FB7"/>
    <w:rsid w:val="490357DA"/>
    <w:rsid w:val="4B2F2BD9"/>
    <w:rsid w:val="4D5B7AB4"/>
    <w:rsid w:val="4DB36169"/>
    <w:rsid w:val="4E6C79E6"/>
    <w:rsid w:val="4FF056BF"/>
    <w:rsid w:val="504F5DA9"/>
    <w:rsid w:val="50514665"/>
    <w:rsid w:val="50AB4622"/>
    <w:rsid w:val="50E9112F"/>
    <w:rsid w:val="52A70ED5"/>
    <w:rsid w:val="52DE06FF"/>
    <w:rsid w:val="5324098B"/>
    <w:rsid w:val="554A107C"/>
    <w:rsid w:val="55FA02CA"/>
    <w:rsid w:val="56416AE6"/>
    <w:rsid w:val="56CC1338"/>
    <w:rsid w:val="56E745A6"/>
    <w:rsid w:val="576D4F0B"/>
    <w:rsid w:val="5786241F"/>
    <w:rsid w:val="57AA33C7"/>
    <w:rsid w:val="582C157E"/>
    <w:rsid w:val="591F7FE5"/>
    <w:rsid w:val="5971111C"/>
    <w:rsid w:val="599B411D"/>
    <w:rsid w:val="59A2083F"/>
    <w:rsid w:val="5AC53112"/>
    <w:rsid w:val="5BB17B60"/>
    <w:rsid w:val="5C1E79CC"/>
    <w:rsid w:val="5C5E0DE0"/>
    <w:rsid w:val="5C6A32FD"/>
    <w:rsid w:val="5C864DA4"/>
    <w:rsid w:val="5CC22A2B"/>
    <w:rsid w:val="5D423DA4"/>
    <w:rsid w:val="5D4B2C72"/>
    <w:rsid w:val="5DC834D6"/>
    <w:rsid w:val="5EE0700E"/>
    <w:rsid w:val="5EEB4FA9"/>
    <w:rsid w:val="5F360ADB"/>
    <w:rsid w:val="5F680E48"/>
    <w:rsid w:val="5F8C6E83"/>
    <w:rsid w:val="5FCA17B9"/>
    <w:rsid w:val="60494CB4"/>
    <w:rsid w:val="60A7662C"/>
    <w:rsid w:val="60AF2C6B"/>
    <w:rsid w:val="61BF6C8C"/>
    <w:rsid w:val="625E42D4"/>
    <w:rsid w:val="62B35FD1"/>
    <w:rsid w:val="62E45814"/>
    <w:rsid w:val="630430FE"/>
    <w:rsid w:val="63496EAF"/>
    <w:rsid w:val="63603062"/>
    <w:rsid w:val="63BC2532"/>
    <w:rsid w:val="63C63CC4"/>
    <w:rsid w:val="64D06FB5"/>
    <w:rsid w:val="65813F29"/>
    <w:rsid w:val="65AA2141"/>
    <w:rsid w:val="66A6691F"/>
    <w:rsid w:val="67755B92"/>
    <w:rsid w:val="678F3911"/>
    <w:rsid w:val="684B6592"/>
    <w:rsid w:val="692D05FC"/>
    <w:rsid w:val="6977590B"/>
    <w:rsid w:val="69DB4322"/>
    <w:rsid w:val="6A11530A"/>
    <w:rsid w:val="6A4D11C0"/>
    <w:rsid w:val="6B4A561D"/>
    <w:rsid w:val="6BA31290"/>
    <w:rsid w:val="6BEF598B"/>
    <w:rsid w:val="6CB31E1D"/>
    <w:rsid w:val="6D6D4E18"/>
    <w:rsid w:val="6DF60B56"/>
    <w:rsid w:val="6FCE1612"/>
    <w:rsid w:val="704612A5"/>
    <w:rsid w:val="70556BD4"/>
    <w:rsid w:val="7058328B"/>
    <w:rsid w:val="72203565"/>
    <w:rsid w:val="72872D3A"/>
    <w:rsid w:val="72924D83"/>
    <w:rsid w:val="731E7F68"/>
    <w:rsid w:val="732E4108"/>
    <w:rsid w:val="73DB41D9"/>
    <w:rsid w:val="73F00FE4"/>
    <w:rsid w:val="74D72308"/>
    <w:rsid w:val="76191EF9"/>
    <w:rsid w:val="76D94AF0"/>
    <w:rsid w:val="77971FE4"/>
    <w:rsid w:val="77EF1708"/>
    <w:rsid w:val="78146657"/>
    <w:rsid w:val="79961954"/>
    <w:rsid w:val="7B4F46BD"/>
    <w:rsid w:val="7B5C3C3B"/>
    <w:rsid w:val="7B93670A"/>
    <w:rsid w:val="7C313556"/>
    <w:rsid w:val="7CE244BE"/>
    <w:rsid w:val="7D0E493F"/>
    <w:rsid w:val="7DC10B1E"/>
    <w:rsid w:val="7F5F0966"/>
    <w:rsid w:val="7FE40C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8"/>
      <w:szCs w:val="24"/>
      <w:lang w:val="en-US" w:eastAsia="zh-CN" w:bidi="ar-SA"/>
    </w:rPr>
  </w:style>
  <w:style w:type="paragraph" w:styleId="2">
    <w:name w:val="heading 2"/>
    <w:basedOn w:val="1"/>
    <w:next w:val="1"/>
    <w:unhideWhenUsed/>
    <w:qFormat/>
    <w:uiPriority w:val="9"/>
    <w:pPr>
      <w:keepNext/>
      <w:keepLines/>
      <w:spacing w:beforeLines="0" w:beforeAutospacing="0" w:afterLines="0" w:afterAutospacing="0" w:line="576" w:lineRule="exact"/>
      <w:outlineLvl w:val="1"/>
    </w:pPr>
    <w:rPr>
      <w:rFonts w:ascii="Arial" w:hAnsi="Arial" w:eastAsia="黑体"/>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Normal Indent"/>
    <w:basedOn w:val="1"/>
    <w:semiHidden/>
    <w:qFormat/>
    <w:uiPriority w:val="0"/>
    <w:pPr>
      <w:ind w:firstLine="420"/>
    </w:pPr>
    <w:rPr>
      <w:rFonts w:eastAsia="宋体"/>
      <w:kern w:val="0"/>
      <w:sz w:val="20"/>
      <w:szCs w:val="20"/>
    </w:rPr>
  </w:style>
  <w:style w:type="paragraph" w:styleId="4">
    <w:name w:val="annotation text"/>
    <w:basedOn w:val="1"/>
    <w:unhideWhenUsed/>
    <w:qFormat/>
    <w:uiPriority w:val="99"/>
    <w:pPr>
      <w:jc w:val="left"/>
    </w:pPr>
  </w:style>
  <w:style w:type="paragraph" w:styleId="5">
    <w:name w:val="Body Text"/>
    <w:basedOn w:val="1"/>
    <w:qFormat/>
    <w:uiPriority w:val="0"/>
    <w:pPr>
      <w:topLinePunct w:val="0"/>
      <w:adjustRightInd/>
      <w:spacing w:line="420" w:lineRule="exact"/>
      <w:ind w:firstLine="0"/>
      <w:jc w:val="center"/>
      <w:textAlignment w:val="center"/>
    </w:pPr>
    <w:rPr>
      <w:rFonts w:eastAsia="宋体"/>
      <w:kern w:val="2"/>
      <w:sz w:val="21"/>
    </w:rPr>
  </w:style>
  <w:style w:type="paragraph" w:styleId="6">
    <w:name w:val="Date"/>
    <w:basedOn w:val="1"/>
    <w:next w:val="1"/>
    <w:link w:val="13"/>
    <w:unhideWhenUsed/>
    <w:qFormat/>
    <w:uiPriority w:val="99"/>
    <w:pPr>
      <w:ind w:left="100" w:leftChars="2500"/>
    </w:pPr>
  </w:style>
  <w:style w:type="paragraph" w:styleId="7">
    <w:name w:val="footer"/>
    <w:basedOn w:val="1"/>
    <w:link w:val="14"/>
    <w:unhideWhenUsed/>
    <w:qFormat/>
    <w:uiPriority w:val="99"/>
    <w:pPr>
      <w:tabs>
        <w:tab w:val="center" w:pos="4153"/>
        <w:tab w:val="right" w:pos="8306"/>
      </w:tabs>
      <w:snapToGrid w:val="0"/>
      <w:jc w:val="left"/>
    </w:pPr>
    <w:rPr>
      <w:kern w:val="0"/>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11">
    <w:name w:val="正文格式 Char"/>
    <w:link w:val="12"/>
    <w:qFormat/>
    <w:uiPriority w:val="0"/>
    <w:rPr>
      <w:rFonts w:ascii="仿宋_GB2312" w:hAnsi="宋体" w:eastAsia="仿宋_GB2312" w:cs="Times New Roman"/>
      <w:sz w:val="32"/>
      <w:szCs w:val="32"/>
    </w:rPr>
  </w:style>
  <w:style w:type="paragraph" w:customStyle="1" w:styleId="12">
    <w:name w:val="正文格式"/>
    <w:basedOn w:val="1"/>
    <w:link w:val="11"/>
    <w:qFormat/>
    <w:uiPriority w:val="0"/>
    <w:pPr>
      <w:spacing w:line="586" w:lineRule="exact"/>
      <w:ind w:firstLine="640" w:firstLineChars="200"/>
    </w:pPr>
    <w:rPr>
      <w:rFonts w:ascii="仿宋_GB2312" w:eastAsia="仿宋_GB2312"/>
      <w:kern w:val="0"/>
      <w:sz w:val="32"/>
      <w:szCs w:val="32"/>
    </w:rPr>
  </w:style>
  <w:style w:type="character" w:customStyle="1" w:styleId="13">
    <w:name w:val="日期 字符"/>
    <w:link w:val="6"/>
    <w:semiHidden/>
    <w:qFormat/>
    <w:uiPriority w:val="99"/>
    <w:rPr>
      <w:rFonts w:ascii="宋体" w:hAnsi="宋体"/>
      <w:kern w:val="2"/>
      <w:sz w:val="28"/>
      <w:szCs w:val="24"/>
    </w:rPr>
  </w:style>
  <w:style w:type="character" w:customStyle="1" w:styleId="14">
    <w:name w:val="页脚 字符"/>
    <w:link w:val="7"/>
    <w:qFormat/>
    <w:uiPriority w:val="99"/>
    <w:rPr>
      <w:rFonts w:ascii="宋体" w:hAnsi="宋体" w:eastAsia="宋体" w:cs="Times New Roman"/>
      <w:sz w:val="18"/>
      <w:szCs w:val="18"/>
    </w:rPr>
  </w:style>
  <w:style w:type="character" w:customStyle="1" w:styleId="15">
    <w:name w:val="页眉 字符"/>
    <w:link w:val="8"/>
    <w:semiHidden/>
    <w:qFormat/>
    <w:uiPriority w:val="99"/>
    <w:rPr>
      <w:rFonts w:ascii="宋体" w:hAnsi="宋体" w:eastAsia="宋体" w:cs="Times New Roman"/>
      <w:sz w:val="18"/>
      <w:szCs w:val="18"/>
    </w:rPr>
  </w:style>
  <w:style w:type="paragraph" w:customStyle="1" w:styleId="16">
    <w:name w:val="列表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272</Words>
  <Characters>1556</Characters>
  <Lines>12</Lines>
  <Paragraphs>3</Paragraphs>
  <TotalTime>1</TotalTime>
  <ScaleCrop>false</ScaleCrop>
  <LinksUpToDate>false</LinksUpToDate>
  <CharactersWithSpaces>1825</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2020-03-27T09:40:00Z</dcterms:created>
  <dc:creator>汪卉/国电长源电力股份有限公司</dc:creator>
  <cp:lastModifiedBy>刘硕02</cp:lastModifiedBy>
  <dcterms:modified xsi:type="dcterms:W3CDTF">2025-08-19T08:24:01Z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30752D68CFA04BEFAE4F90C36FFD15CD</vt:lpwstr>
  </property>
</Properties>
</file>